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2122" w:rsidRPr="00C3009A" w:rsidRDefault="00C3009A" w:rsidP="004F3CA5">
      <w:pPr>
        <w:jc w:val="both"/>
        <w:rPr>
          <w:rFonts w:ascii="Arial" w:eastAsia="Arial" w:hAnsi="Arial" w:cs="Arial"/>
          <w:b/>
          <w:bCs/>
          <w:color w:val="000000"/>
          <w:sz w:val="26"/>
          <w:szCs w:val="26"/>
        </w:rPr>
      </w:pPr>
      <w:r w:rsidRPr="00C3009A">
        <w:rPr>
          <w:rFonts w:ascii="Arial" w:eastAsia="Arial" w:hAnsi="Arial" w:cs="Arial"/>
          <w:b/>
          <w:bCs/>
          <w:color w:val="000000"/>
          <w:sz w:val="26"/>
          <w:szCs w:val="26"/>
        </w:rPr>
        <w:t>Optimizing Housing Renovation Assistance Programs for the Empowerment of Impoverished Communities in Pacitan Regency: An Islamic Community Developme</w:t>
      </w:r>
      <w:r>
        <w:rPr>
          <w:rFonts w:ascii="Arial" w:eastAsia="Arial" w:hAnsi="Arial" w:cs="Arial"/>
          <w:b/>
          <w:bCs/>
          <w:color w:val="000000"/>
          <w:sz w:val="26"/>
          <w:szCs w:val="26"/>
        </w:rPr>
        <w:t>nt Perspective</w:t>
      </w:r>
    </w:p>
    <w:p w:rsidR="00E52122" w:rsidRDefault="00E52122">
      <w:pPr>
        <w:pBdr>
          <w:top w:val="nil"/>
          <w:left w:val="nil"/>
          <w:bottom w:val="nil"/>
          <w:right w:val="nil"/>
          <w:between w:val="nil"/>
        </w:pBdr>
        <w:spacing w:after="120"/>
        <w:rPr>
          <w:rFonts w:ascii="Arial" w:eastAsia="Arial" w:hAnsi="Arial" w:cs="Arial"/>
          <w:b/>
          <w:color w:val="000000"/>
          <w:sz w:val="20"/>
          <w:szCs w:val="20"/>
        </w:rPr>
      </w:pPr>
    </w:p>
    <w:p w:rsidR="00E52122" w:rsidRDefault="005A3C34">
      <w:pPr>
        <w:pBdr>
          <w:top w:val="nil"/>
          <w:left w:val="nil"/>
          <w:bottom w:val="nil"/>
          <w:right w:val="nil"/>
          <w:between w:val="nil"/>
        </w:pBdr>
        <w:spacing w:after="120"/>
        <w:rPr>
          <w:rFonts w:ascii="Arial" w:eastAsia="Arial" w:hAnsi="Arial" w:cs="Arial"/>
          <w:b/>
          <w:color w:val="000000"/>
          <w:sz w:val="20"/>
          <w:szCs w:val="20"/>
          <w:lang w:val="en-ID"/>
        </w:rPr>
      </w:pPr>
      <w:r>
        <w:rPr>
          <w:rFonts w:ascii="Arial" w:eastAsia="Arial" w:hAnsi="Arial" w:cs="Arial"/>
          <w:b/>
          <w:color w:val="000000"/>
          <w:sz w:val="20"/>
          <w:szCs w:val="20"/>
          <w:lang w:val="en-ID"/>
        </w:rPr>
        <w:t>Anton Sri Mahendra</w:t>
      </w:r>
      <w:r>
        <w:rPr>
          <w:rFonts w:ascii="Arial" w:eastAsia="Arial" w:hAnsi="Arial" w:cs="Arial"/>
          <w:b/>
          <w:color w:val="000000"/>
          <w:sz w:val="20"/>
          <w:szCs w:val="20"/>
          <w:vertAlign w:val="superscript"/>
          <w:lang w:val="en-ID"/>
        </w:rPr>
        <w:t>1*</w:t>
      </w:r>
      <w:r>
        <w:rPr>
          <w:rFonts w:ascii="Arial" w:eastAsia="Arial" w:hAnsi="Arial" w:cs="Arial"/>
          <w:b/>
          <w:color w:val="000000"/>
          <w:sz w:val="20"/>
          <w:szCs w:val="20"/>
          <w:lang w:val="en-ID"/>
        </w:rPr>
        <w:t>, Happy Agustiani</w:t>
      </w:r>
      <w:r>
        <w:rPr>
          <w:rFonts w:ascii="Arial" w:eastAsia="Arial" w:hAnsi="Arial" w:cs="Arial"/>
          <w:b/>
          <w:color w:val="000000"/>
          <w:sz w:val="20"/>
          <w:szCs w:val="20"/>
          <w:vertAlign w:val="superscript"/>
          <w:lang w:val="en-ID"/>
        </w:rPr>
        <w:t>2</w:t>
      </w:r>
    </w:p>
    <w:p w:rsidR="00E52122" w:rsidRDefault="005A3C34">
      <w:pPr>
        <w:pBdr>
          <w:top w:val="nil"/>
          <w:left w:val="nil"/>
          <w:bottom w:val="nil"/>
          <w:right w:val="nil"/>
          <w:between w:val="nil"/>
        </w:pBdr>
        <w:spacing w:after="0"/>
        <w:rPr>
          <w:rFonts w:ascii="Arial" w:eastAsia="Arial" w:hAnsi="Arial" w:cs="Arial"/>
          <w:color w:val="000000"/>
          <w:sz w:val="18"/>
          <w:szCs w:val="18"/>
          <w:u w:val="single"/>
          <w:lang w:val="en-ID"/>
        </w:rPr>
      </w:pPr>
      <w:r>
        <w:rPr>
          <w:rFonts w:ascii="Arial" w:eastAsia="Arial" w:hAnsi="Arial" w:cs="Arial"/>
          <w:color w:val="000000"/>
          <w:sz w:val="18"/>
          <w:szCs w:val="18"/>
          <w:vertAlign w:val="superscript"/>
          <w:lang w:val="en-ID"/>
        </w:rPr>
        <w:t>1</w:t>
      </w:r>
      <w:r>
        <w:rPr>
          <w:rFonts w:ascii="Arial" w:eastAsia="Arial" w:hAnsi="Arial" w:cs="Arial"/>
          <w:color w:val="000000"/>
          <w:sz w:val="18"/>
          <w:szCs w:val="18"/>
          <w:lang w:val="en-ID"/>
        </w:rPr>
        <w:t xml:space="preserve">Institut Studi Islam Muhammadiyah Pacitan; </w:t>
      </w:r>
      <w:r>
        <w:rPr>
          <w:rFonts w:ascii="Arial" w:eastAsia="Arial" w:hAnsi="Arial" w:cs="Arial"/>
          <w:color w:val="000000"/>
          <w:sz w:val="18"/>
          <w:szCs w:val="18"/>
        </w:rPr>
        <w:t>antonmagendra647@gmail.com</w:t>
      </w:r>
      <w:r>
        <w:rPr>
          <w:rFonts w:ascii="Arial" w:eastAsia="Arial" w:hAnsi="Arial" w:cs="Arial"/>
          <w:color w:val="000000"/>
          <w:sz w:val="18"/>
          <w:szCs w:val="18"/>
          <w:u w:val="single"/>
          <w:lang w:val="en-ID"/>
        </w:rPr>
        <w:t xml:space="preserve"> </w:t>
      </w:r>
    </w:p>
    <w:p w:rsidR="00E52122" w:rsidRDefault="005A3C34">
      <w:pPr>
        <w:pBdr>
          <w:top w:val="nil"/>
          <w:left w:val="nil"/>
          <w:bottom w:val="nil"/>
          <w:right w:val="nil"/>
          <w:between w:val="nil"/>
        </w:pBdr>
        <w:spacing w:after="0"/>
        <w:rPr>
          <w:rFonts w:ascii="Arial" w:eastAsia="Arial" w:hAnsi="Arial" w:cs="Arial"/>
          <w:color w:val="000000"/>
          <w:sz w:val="18"/>
          <w:szCs w:val="18"/>
          <w:lang w:val="en-ID"/>
        </w:rPr>
      </w:pPr>
      <w:r>
        <w:rPr>
          <w:rFonts w:ascii="Arial" w:eastAsia="Arial" w:hAnsi="Arial" w:cs="Arial"/>
          <w:color w:val="000000"/>
          <w:sz w:val="18"/>
          <w:szCs w:val="18"/>
          <w:vertAlign w:val="superscript"/>
          <w:lang w:val="en-ID"/>
        </w:rPr>
        <w:t>2</w:t>
      </w:r>
      <w:r>
        <w:rPr>
          <w:rFonts w:ascii="Arial" w:eastAsia="Arial" w:hAnsi="Arial" w:cs="Arial"/>
          <w:color w:val="000000"/>
          <w:sz w:val="18"/>
          <w:szCs w:val="18"/>
          <w:lang w:val="en-ID"/>
        </w:rPr>
        <w:t>Institut Studi Islam Muhammadiyah Pacitan; happyagustiani@isimupacitan.ac.id</w:t>
      </w:r>
    </w:p>
    <w:p w:rsidR="00E52122" w:rsidRDefault="005A3C34">
      <w:pPr>
        <w:pBdr>
          <w:top w:val="nil"/>
          <w:left w:val="nil"/>
          <w:bottom w:val="nil"/>
          <w:right w:val="nil"/>
          <w:between w:val="nil"/>
        </w:pBdr>
        <w:spacing w:after="0"/>
        <w:rPr>
          <w:rFonts w:ascii="Arial" w:eastAsia="Arial" w:hAnsi="Arial" w:cs="Arial"/>
          <w:color w:val="000000"/>
          <w:sz w:val="18"/>
          <w:szCs w:val="18"/>
          <w:lang w:val="en-ID"/>
        </w:rPr>
      </w:pPr>
      <w:r>
        <w:rPr>
          <w:rFonts w:ascii="Arial" w:eastAsia="Arial" w:hAnsi="Arial" w:cs="Arial"/>
          <w:color w:val="000000"/>
          <w:sz w:val="18"/>
          <w:szCs w:val="18"/>
          <w:lang w:val="en-ID"/>
        </w:rPr>
        <w:t>*Correspondence: antonmagendra647@gmail.com</w:t>
      </w:r>
    </w:p>
    <w:p w:rsidR="00E52122" w:rsidRDefault="005A3C34">
      <w:pPr>
        <w:pBdr>
          <w:top w:val="nil"/>
          <w:left w:val="nil"/>
          <w:bottom w:val="nil"/>
          <w:right w:val="nil"/>
          <w:between w:val="nil"/>
        </w:pBdr>
        <w:spacing w:before="120" w:after="0"/>
        <w:rPr>
          <w:rFonts w:ascii="Arial" w:eastAsia="Arial" w:hAnsi="Arial" w:cs="Arial"/>
          <w:color w:val="000000"/>
          <w:sz w:val="18"/>
          <w:szCs w:val="18"/>
        </w:rPr>
      </w:pPr>
      <w:r>
        <w:rPr>
          <w:rFonts w:ascii="Arial" w:eastAsia="Arial" w:hAnsi="Arial" w:cs="Arial"/>
          <w:color w:val="000000"/>
          <w:sz w:val="18"/>
          <w:szCs w:val="18"/>
        </w:rPr>
        <w:t>Received: date; Accepted: date; Published: date</w:t>
      </w:r>
    </w:p>
    <w:p w:rsidR="00E52122" w:rsidRDefault="00E52122">
      <w:pPr>
        <w:rPr>
          <w:rFonts w:ascii="Arial" w:eastAsia="Arial" w:hAnsi="Arial" w:cs="Arial"/>
        </w:rPr>
      </w:pPr>
    </w:p>
    <w:p w:rsidR="00C3009A" w:rsidRDefault="005A3C34">
      <w:pPr>
        <w:pBdr>
          <w:top w:val="nil"/>
          <w:left w:val="nil"/>
          <w:bottom w:val="nil"/>
          <w:right w:val="nil"/>
          <w:between w:val="nil"/>
        </w:pBdr>
        <w:spacing w:before="240" w:after="0"/>
        <w:jc w:val="both"/>
        <w:rPr>
          <w:rFonts w:ascii="Arial" w:eastAsia="Arial" w:hAnsi="Arial" w:cs="Arial"/>
          <w:i/>
          <w:color w:val="000000"/>
          <w:sz w:val="20"/>
          <w:szCs w:val="20"/>
          <w:lang w:val="en-ID"/>
        </w:rPr>
      </w:pPr>
      <w:bookmarkStart w:id="0" w:name="_heading=h.gjdgxs" w:colFirst="0" w:colLast="0"/>
      <w:bookmarkEnd w:id="0"/>
      <w:r>
        <w:rPr>
          <w:rFonts w:ascii="Arial" w:eastAsia="Arial" w:hAnsi="Arial" w:cs="Arial"/>
          <w:b/>
          <w:bCs/>
          <w:i/>
          <w:color w:val="000000"/>
          <w:sz w:val="20"/>
          <w:szCs w:val="20"/>
          <w:lang w:val="en-ID"/>
        </w:rPr>
        <w:t>Abstract:</w:t>
      </w:r>
      <w:r>
        <w:rPr>
          <w:rFonts w:ascii="Arial" w:eastAsia="Arial" w:hAnsi="Arial" w:cs="Arial"/>
          <w:i/>
          <w:color w:val="000000"/>
          <w:sz w:val="20"/>
          <w:szCs w:val="20"/>
          <w:lang w:val="en-ID"/>
        </w:rPr>
        <w:t xml:space="preserve"> </w:t>
      </w:r>
      <w:r w:rsidR="00C3009A" w:rsidRPr="00C3009A">
        <w:rPr>
          <w:rFonts w:ascii="Arial" w:eastAsia="Arial" w:hAnsi="Arial" w:cs="Arial"/>
          <w:i/>
          <w:color w:val="000000"/>
          <w:sz w:val="20"/>
          <w:szCs w:val="20"/>
          <w:lang w:val="en-ID"/>
        </w:rPr>
        <w:t xml:space="preserve">This study explores the optimization of housing renovation assistance programs as a means of empowering impoverished communities in </w:t>
      </w:r>
      <w:proofErr w:type="spellStart"/>
      <w:r w:rsidR="00C3009A" w:rsidRPr="00C3009A">
        <w:rPr>
          <w:rFonts w:ascii="Arial" w:eastAsia="Arial" w:hAnsi="Arial" w:cs="Arial"/>
          <w:i/>
          <w:color w:val="000000"/>
          <w:sz w:val="20"/>
          <w:szCs w:val="20"/>
          <w:lang w:val="en-ID"/>
        </w:rPr>
        <w:t>Pacitan</w:t>
      </w:r>
      <w:proofErr w:type="spellEnd"/>
      <w:r w:rsidR="00C3009A" w:rsidRPr="00C3009A">
        <w:rPr>
          <w:rFonts w:ascii="Arial" w:eastAsia="Arial" w:hAnsi="Arial" w:cs="Arial"/>
          <w:i/>
          <w:color w:val="000000"/>
          <w:sz w:val="20"/>
          <w:szCs w:val="20"/>
          <w:lang w:val="en-ID"/>
        </w:rPr>
        <w:t xml:space="preserve"> Regency, </w:t>
      </w:r>
      <w:proofErr w:type="spellStart"/>
      <w:r w:rsidR="00C3009A" w:rsidRPr="00C3009A">
        <w:rPr>
          <w:rFonts w:ascii="Arial" w:eastAsia="Arial" w:hAnsi="Arial" w:cs="Arial"/>
          <w:i/>
          <w:color w:val="000000"/>
          <w:sz w:val="20"/>
          <w:szCs w:val="20"/>
          <w:lang w:val="en-ID"/>
        </w:rPr>
        <w:t>analyzed</w:t>
      </w:r>
      <w:proofErr w:type="spellEnd"/>
      <w:r w:rsidR="00C3009A" w:rsidRPr="00C3009A">
        <w:rPr>
          <w:rFonts w:ascii="Arial" w:eastAsia="Arial" w:hAnsi="Arial" w:cs="Arial"/>
          <w:i/>
          <w:color w:val="000000"/>
          <w:sz w:val="20"/>
          <w:szCs w:val="20"/>
          <w:lang w:val="en-ID"/>
        </w:rPr>
        <w:t xml:space="preserve"> through the lens of Islamic community development. Employing a qualitative case study approach, data were collected through in-depth interviews, participant observation, and document analysis involving program beneficiaries, local authorities, and implementing stakeholders. The findings demonstrate that the housing renovation program not only contributes to improved physical living conditions but also significantly enhances residents’ dignity, psychological well-being, work motivation, and social participation. Moreover, the program embodies core Islamic values, including </w:t>
      </w:r>
      <w:proofErr w:type="spellStart"/>
      <w:r w:rsidR="00C3009A" w:rsidRPr="00C3009A">
        <w:rPr>
          <w:rFonts w:ascii="Arial" w:eastAsia="Arial" w:hAnsi="Arial" w:cs="Arial"/>
          <w:i/>
          <w:color w:val="000000"/>
          <w:sz w:val="20"/>
          <w:szCs w:val="20"/>
          <w:lang w:val="en-ID"/>
        </w:rPr>
        <w:t>ukhuwah</w:t>
      </w:r>
      <w:proofErr w:type="spellEnd"/>
      <w:r w:rsidR="00C3009A" w:rsidRPr="00C3009A">
        <w:rPr>
          <w:rFonts w:ascii="Arial" w:eastAsia="Arial" w:hAnsi="Arial" w:cs="Arial"/>
          <w:i/>
          <w:color w:val="000000"/>
          <w:sz w:val="20"/>
          <w:szCs w:val="20"/>
          <w:lang w:val="en-ID"/>
        </w:rPr>
        <w:t xml:space="preserve"> (social solidarity), </w:t>
      </w:r>
      <w:proofErr w:type="spellStart"/>
      <w:r w:rsidR="00C3009A" w:rsidRPr="00C3009A">
        <w:rPr>
          <w:rFonts w:ascii="Arial" w:eastAsia="Arial" w:hAnsi="Arial" w:cs="Arial"/>
          <w:i/>
          <w:color w:val="000000"/>
          <w:sz w:val="20"/>
          <w:szCs w:val="20"/>
          <w:lang w:val="en-ID"/>
        </w:rPr>
        <w:t>ta’awun</w:t>
      </w:r>
      <w:proofErr w:type="spellEnd"/>
      <w:r w:rsidR="00C3009A" w:rsidRPr="00C3009A">
        <w:rPr>
          <w:rFonts w:ascii="Arial" w:eastAsia="Arial" w:hAnsi="Arial" w:cs="Arial"/>
          <w:i/>
          <w:color w:val="000000"/>
          <w:sz w:val="20"/>
          <w:szCs w:val="20"/>
          <w:lang w:val="en-ID"/>
        </w:rPr>
        <w:t xml:space="preserve"> (mutual assistance), and principles of social justice, aligning with the broader objectives of </w:t>
      </w:r>
      <w:proofErr w:type="spellStart"/>
      <w:r w:rsidR="00C3009A" w:rsidRPr="00C3009A">
        <w:rPr>
          <w:rFonts w:ascii="Arial" w:eastAsia="Arial" w:hAnsi="Arial" w:cs="Arial"/>
          <w:i/>
          <w:color w:val="000000"/>
          <w:sz w:val="20"/>
          <w:szCs w:val="20"/>
          <w:lang w:val="en-ID"/>
        </w:rPr>
        <w:t>maqashid</w:t>
      </w:r>
      <w:proofErr w:type="spellEnd"/>
      <w:r w:rsidR="00C3009A" w:rsidRPr="00C3009A">
        <w:rPr>
          <w:rFonts w:ascii="Arial" w:eastAsia="Arial" w:hAnsi="Arial" w:cs="Arial"/>
          <w:i/>
          <w:color w:val="000000"/>
          <w:sz w:val="20"/>
          <w:szCs w:val="20"/>
          <w:lang w:val="en-ID"/>
        </w:rPr>
        <w:t xml:space="preserve"> sharia, particularly the protection of life (</w:t>
      </w:r>
      <w:proofErr w:type="spellStart"/>
      <w:r w:rsidR="00C3009A" w:rsidRPr="00C3009A">
        <w:rPr>
          <w:rFonts w:ascii="Arial" w:eastAsia="Arial" w:hAnsi="Arial" w:cs="Arial"/>
          <w:i/>
          <w:color w:val="000000"/>
          <w:sz w:val="20"/>
          <w:szCs w:val="20"/>
          <w:lang w:val="en-ID"/>
        </w:rPr>
        <w:t>hifz</w:t>
      </w:r>
      <w:proofErr w:type="spellEnd"/>
      <w:r w:rsidR="00C3009A" w:rsidRPr="00C3009A">
        <w:rPr>
          <w:rFonts w:ascii="Arial" w:eastAsia="Arial" w:hAnsi="Arial" w:cs="Arial"/>
          <w:i/>
          <w:color w:val="000000"/>
          <w:sz w:val="20"/>
          <w:szCs w:val="20"/>
          <w:lang w:val="en-ID"/>
        </w:rPr>
        <w:t xml:space="preserve"> al-</w:t>
      </w:r>
      <w:proofErr w:type="spellStart"/>
      <w:r w:rsidR="00C3009A" w:rsidRPr="00C3009A">
        <w:rPr>
          <w:rFonts w:ascii="Arial" w:eastAsia="Arial" w:hAnsi="Arial" w:cs="Arial"/>
          <w:i/>
          <w:color w:val="000000"/>
          <w:sz w:val="20"/>
          <w:szCs w:val="20"/>
          <w:lang w:val="en-ID"/>
        </w:rPr>
        <w:t>nafs</w:t>
      </w:r>
      <w:proofErr w:type="spellEnd"/>
      <w:r w:rsidR="00C3009A" w:rsidRPr="00C3009A">
        <w:rPr>
          <w:rFonts w:ascii="Arial" w:eastAsia="Arial" w:hAnsi="Arial" w:cs="Arial"/>
          <w:i/>
          <w:color w:val="000000"/>
          <w:sz w:val="20"/>
          <w:szCs w:val="20"/>
          <w:lang w:val="en-ID"/>
        </w:rPr>
        <w:t>), property (</w:t>
      </w:r>
      <w:proofErr w:type="spellStart"/>
      <w:r w:rsidR="00C3009A" w:rsidRPr="00C3009A">
        <w:rPr>
          <w:rFonts w:ascii="Arial" w:eastAsia="Arial" w:hAnsi="Arial" w:cs="Arial"/>
          <w:i/>
          <w:color w:val="000000"/>
          <w:sz w:val="20"/>
          <w:szCs w:val="20"/>
          <w:lang w:val="en-ID"/>
        </w:rPr>
        <w:t>hifz</w:t>
      </w:r>
      <w:proofErr w:type="spellEnd"/>
      <w:r w:rsidR="00C3009A" w:rsidRPr="00C3009A">
        <w:rPr>
          <w:rFonts w:ascii="Arial" w:eastAsia="Arial" w:hAnsi="Arial" w:cs="Arial"/>
          <w:i/>
          <w:color w:val="000000"/>
          <w:sz w:val="20"/>
          <w:szCs w:val="20"/>
          <w:lang w:val="en-ID"/>
        </w:rPr>
        <w:t xml:space="preserve"> al-mal), and family welfare (</w:t>
      </w:r>
      <w:proofErr w:type="spellStart"/>
      <w:r w:rsidR="00C3009A" w:rsidRPr="00C3009A">
        <w:rPr>
          <w:rFonts w:ascii="Arial" w:eastAsia="Arial" w:hAnsi="Arial" w:cs="Arial"/>
          <w:i/>
          <w:color w:val="000000"/>
          <w:sz w:val="20"/>
          <w:szCs w:val="20"/>
          <w:lang w:val="en-ID"/>
        </w:rPr>
        <w:t>hifz</w:t>
      </w:r>
      <w:proofErr w:type="spellEnd"/>
      <w:r w:rsidR="00C3009A" w:rsidRPr="00C3009A">
        <w:rPr>
          <w:rFonts w:ascii="Arial" w:eastAsia="Arial" w:hAnsi="Arial" w:cs="Arial"/>
          <w:i/>
          <w:color w:val="000000"/>
          <w:sz w:val="20"/>
          <w:szCs w:val="20"/>
          <w:lang w:val="en-ID"/>
        </w:rPr>
        <w:t xml:space="preserve"> al-</w:t>
      </w:r>
      <w:proofErr w:type="spellStart"/>
      <w:r w:rsidR="00C3009A" w:rsidRPr="00C3009A">
        <w:rPr>
          <w:rFonts w:ascii="Arial" w:eastAsia="Arial" w:hAnsi="Arial" w:cs="Arial"/>
          <w:i/>
          <w:color w:val="000000"/>
          <w:sz w:val="20"/>
          <w:szCs w:val="20"/>
          <w:lang w:val="en-ID"/>
        </w:rPr>
        <w:t>nasl</w:t>
      </w:r>
      <w:proofErr w:type="spellEnd"/>
      <w:r w:rsidR="00C3009A" w:rsidRPr="00C3009A">
        <w:rPr>
          <w:rFonts w:ascii="Arial" w:eastAsia="Arial" w:hAnsi="Arial" w:cs="Arial"/>
          <w:i/>
          <w:color w:val="000000"/>
          <w:sz w:val="20"/>
          <w:szCs w:val="20"/>
          <w:lang w:val="en-ID"/>
        </w:rPr>
        <w:t>). Despite these positive outcomes, challenges persist, including limited financial resources, inequitable beneficiary selection, and insufficient community engagement during program planning and decision-making processes. The study underscores the need for a more integrated, participatory approach that involves collaboration between government entities, religious institutions, and civil society to ensure sustainable, value-driven community empowerment.</w:t>
      </w:r>
      <w:r w:rsidR="00C3009A">
        <w:rPr>
          <w:rFonts w:ascii="Arial" w:eastAsia="Arial" w:hAnsi="Arial" w:cs="Arial"/>
          <w:i/>
          <w:color w:val="000000"/>
          <w:sz w:val="20"/>
          <w:szCs w:val="20"/>
          <w:lang w:val="en-ID"/>
        </w:rPr>
        <w:t xml:space="preserve"> </w:t>
      </w:r>
    </w:p>
    <w:p w:rsidR="00E52122" w:rsidRDefault="005A3C34">
      <w:pPr>
        <w:pBdr>
          <w:top w:val="nil"/>
          <w:left w:val="nil"/>
          <w:bottom w:val="nil"/>
          <w:right w:val="nil"/>
          <w:between w:val="nil"/>
        </w:pBdr>
        <w:spacing w:before="240" w:after="0"/>
        <w:jc w:val="both"/>
        <w:rPr>
          <w:rFonts w:ascii="Arial" w:eastAsia="Arial" w:hAnsi="Arial" w:cs="Arial"/>
          <w:i/>
          <w:color w:val="000000"/>
          <w:sz w:val="20"/>
          <w:szCs w:val="20"/>
          <w:lang w:val="en-ID"/>
        </w:rPr>
      </w:pPr>
      <w:r>
        <w:rPr>
          <w:rFonts w:ascii="Arial" w:eastAsia="Arial" w:hAnsi="Arial" w:cs="Arial"/>
          <w:b/>
          <w:bCs/>
          <w:i/>
          <w:color w:val="000000"/>
          <w:sz w:val="20"/>
          <w:szCs w:val="20"/>
          <w:lang w:val="en-ID"/>
        </w:rPr>
        <w:t>Keywords:</w:t>
      </w:r>
      <w:r>
        <w:rPr>
          <w:rFonts w:ascii="Arial" w:eastAsia="Arial" w:hAnsi="Arial" w:cs="Arial"/>
          <w:i/>
          <w:color w:val="000000"/>
          <w:sz w:val="20"/>
          <w:szCs w:val="20"/>
          <w:lang w:val="en-ID"/>
        </w:rPr>
        <w:t xml:space="preserve"> community empowerment, house renovation, Islamic community development, poverty.</w:t>
      </w:r>
    </w:p>
    <w:p w:rsidR="004F3CA5" w:rsidRDefault="004F3CA5">
      <w:pPr>
        <w:pBdr>
          <w:top w:val="nil"/>
          <w:left w:val="nil"/>
          <w:bottom w:val="nil"/>
          <w:right w:val="nil"/>
          <w:between w:val="nil"/>
        </w:pBdr>
        <w:spacing w:before="240" w:after="0"/>
        <w:jc w:val="both"/>
        <w:rPr>
          <w:rFonts w:ascii="Arial" w:eastAsia="Arial" w:hAnsi="Arial" w:cs="Arial"/>
          <w:i/>
          <w:color w:val="000000"/>
          <w:sz w:val="20"/>
          <w:szCs w:val="20"/>
          <w:lang w:val="en-ID"/>
        </w:rPr>
      </w:pPr>
    </w:p>
    <w:p w:rsidR="004F3CA5" w:rsidRDefault="004F3CA5" w:rsidP="004F3CA5">
      <w:pPr>
        <w:pBdr>
          <w:top w:val="nil"/>
          <w:left w:val="nil"/>
          <w:bottom w:val="nil"/>
          <w:right w:val="nil"/>
          <w:between w:val="nil"/>
        </w:pBdr>
        <w:spacing w:before="240" w:after="0" w:line="480" w:lineRule="auto"/>
        <w:jc w:val="both"/>
        <w:rPr>
          <w:rFonts w:ascii="Arial" w:eastAsia="Arial" w:hAnsi="Arial" w:cs="Arial"/>
          <w:bCs/>
          <w:iCs/>
          <w:color w:val="000000"/>
          <w:sz w:val="20"/>
          <w:szCs w:val="20"/>
          <w:lang w:val="en-ID"/>
        </w:rPr>
      </w:pPr>
    </w:p>
    <w:p w:rsidR="00E52122" w:rsidRDefault="00191B21" w:rsidP="004F3CA5">
      <w:pPr>
        <w:numPr>
          <w:ilvl w:val="0"/>
          <w:numId w:val="2"/>
        </w:numPr>
        <w:pBdr>
          <w:top w:val="nil"/>
          <w:left w:val="nil"/>
          <w:bottom w:val="nil"/>
          <w:right w:val="nil"/>
          <w:between w:val="nil"/>
        </w:pBdr>
        <w:spacing w:before="240" w:after="120" w:line="480" w:lineRule="auto"/>
        <w:ind w:left="0"/>
        <w:rPr>
          <w:rFonts w:ascii="Arial" w:eastAsia="Arial" w:hAnsi="Arial" w:cs="Arial"/>
          <w:b/>
          <w:color w:val="000000"/>
          <w:sz w:val="20"/>
          <w:szCs w:val="20"/>
        </w:rPr>
      </w:pPr>
      <w:r>
        <w:rPr>
          <w:rFonts w:ascii="Arial" w:eastAsia="Arial" w:hAnsi="Arial" w:cs="Arial"/>
          <w:b/>
          <w:color w:val="000000"/>
          <w:sz w:val="20"/>
          <w:szCs w:val="20"/>
        </w:rPr>
        <w:t>Introduction</w:t>
      </w:r>
    </w:p>
    <w:p w:rsidR="00E52122" w:rsidRDefault="002E7DE3"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rPr>
      </w:pPr>
      <w:r w:rsidRPr="002E7DE3">
        <w:rPr>
          <w:rFonts w:ascii="Arial" w:eastAsia="Arial" w:hAnsi="Arial" w:cs="Arial"/>
          <w:color w:val="000000"/>
          <w:sz w:val="20"/>
          <w:szCs w:val="20"/>
        </w:rPr>
        <w:t xml:space="preserve">Housing is one of the most fundamental human needs, playing a crucial role in all aspects of life. A house serves not only as a physical shelter but also holds broader significance, encompassing social, economic, psychological, and cultural dimensions. The home functions as the primary space for family development, a place of protection from various external threats, and the initial environment where character formation and social values essential to human quality of life are established. Within the context of national development, decent housing constitutes an integral part of efforts to achieve public welfare, as mandated by Article 28H, paragraph (1) of the </w:t>
      </w:r>
      <w:r w:rsidRPr="002E7DE3">
        <w:rPr>
          <w:rFonts w:ascii="Arial" w:eastAsia="Arial" w:hAnsi="Arial" w:cs="Arial"/>
          <w:color w:val="000000"/>
          <w:sz w:val="20"/>
          <w:szCs w:val="20"/>
        </w:rPr>
        <w:lastRenderedPageBreak/>
        <w:t>1945 Constitution of the Republic of Indonesia, which states that every individual has the right to live in physical and mental well-being, to reside, and to enjoy a good and healthy living environment. The fulfillment of the right to decent housing is not only a form of protection for human rights but also a sustainable development strategy aimed at alleviating poverty and enhancing national competitiveness.</w:t>
      </w:r>
    </w:p>
    <w:p w:rsidR="00E52122" w:rsidRDefault="002E7DE3"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rPr>
      </w:pPr>
      <w:r w:rsidRPr="002E7DE3">
        <w:rPr>
          <w:rFonts w:ascii="Arial" w:eastAsia="Arial" w:hAnsi="Arial" w:cs="Arial"/>
          <w:color w:val="000000"/>
          <w:sz w:val="20"/>
          <w:szCs w:val="20"/>
        </w:rPr>
        <w:t>The Government of Indonesia, through</w:t>
      </w:r>
      <w:r>
        <w:rPr>
          <w:rFonts w:ascii="Arial" w:eastAsia="Arial" w:hAnsi="Arial" w:cs="Arial"/>
          <w:color w:val="000000"/>
          <w:sz w:val="20"/>
          <w:szCs w:val="20"/>
        </w:rPr>
        <w:t xml:space="preserve"> </w:t>
      </w:r>
      <w:r w:rsidR="005A3C34">
        <w:rPr>
          <w:rFonts w:ascii="Arial" w:eastAsia="Arial" w:hAnsi="Arial" w:cs="Arial"/>
          <w:color w:val="000000"/>
          <w:sz w:val="20"/>
          <w:szCs w:val="20"/>
          <w:lang w:val="de-LU"/>
        </w:rPr>
        <w:fldChar w:fldCharType="begin"/>
      </w:r>
      <w:r w:rsidR="005A3C34">
        <w:rPr>
          <w:rFonts w:ascii="Arial" w:eastAsia="Arial" w:hAnsi="Arial" w:cs="Arial"/>
          <w:color w:val="000000"/>
          <w:sz w:val="20"/>
          <w:szCs w:val="20"/>
        </w:rPr>
        <w:instrText>ADDIN CSL_CITATION {"citationItems":[{"id":"ITEM-1","itemData":{"author":[{"dropping-particle":"","family":"Republik Indonesia","given":"","non-dropping-particle":"","parse-names":false,"suffix":""}],"id":"ITEM-1","issued":{"date-parts":[["2011"]]},"title":"Undang-Undang Nomor 1 Tahun 2011 tentang Perumahan dan Kawasan Permukiman","type":"legislation"},"uris":["http://www.mendeley.com/documents/?uuid=a2b5333d-9dc8-487d-baef-a7ab83585e98"]}],"mendeley":{"formattedCitation":"(Republik Indonesia, 2011)","manualFormatting":"Undang-Undang Nomor 1 Tahun 2011 Tentang Perumahan Dan Kawasan Permukiman","plainTextFormattedCitation":"(Republik Indonesia, 2011)","previouslyFormattedCitation":"(Undang-Undang Nomor 1 Tahun 2011 Tentang Perumahan Dan Kawasan Permukiman, 2011)"},"properties":{"noteIndex":0},"schema":"https://github.com/citation-style-language/schema/raw/master/csl-citation.json"}</w:instrText>
      </w:r>
      <w:r w:rsidR="005A3C34">
        <w:rPr>
          <w:rFonts w:ascii="Arial" w:eastAsia="Arial" w:hAnsi="Arial" w:cs="Arial"/>
          <w:color w:val="000000"/>
          <w:sz w:val="20"/>
          <w:szCs w:val="20"/>
          <w:lang w:val="de-LU"/>
        </w:rPr>
        <w:fldChar w:fldCharType="separate"/>
      </w:r>
      <w:r w:rsidR="005A3C34">
        <w:rPr>
          <w:rFonts w:ascii="Arial" w:eastAsia="Arial" w:hAnsi="Arial" w:cs="Arial"/>
          <w:noProof/>
          <w:color w:val="000000"/>
          <w:sz w:val="20"/>
          <w:szCs w:val="20"/>
        </w:rPr>
        <w:t>Undang-Undang Nomor 1 Tahun 2011 Tentang Perumahan Dan Kawasan Permukiman</w:t>
      </w:r>
      <w:r w:rsidR="005A3C34">
        <w:rPr>
          <w:rFonts w:ascii="Arial" w:eastAsia="Arial" w:hAnsi="Arial" w:cs="Arial"/>
          <w:color w:val="000000"/>
          <w:sz w:val="20"/>
          <w:szCs w:val="20"/>
        </w:rPr>
        <w:fldChar w:fldCharType="end"/>
      </w:r>
      <w:r w:rsidR="005A3C34">
        <w:rPr>
          <w:rFonts w:ascii="Arial" w:eastAsia="Arial" w:hAnsi="Arial" w:cs="Arial"/>
          <w:color w:val="000000"/>
          <w:sz w:val="20"/>
          <w:szCs w:val="20"/>
        </w:rPr>
        <w:t xml:space="preserve"> </w:t>
      </w:r>
      <w:r w:rsidR="00E06D77" w:rsidRPr="00E06D77">
        <w:rPr>
          <w:rFonts w:ascii="Arial" w:eastAsia="Arial" w:hAnsi="Arial" w:cs="Arial"/>
          <w:color w:val="000000"/>
          <w:sz w:val="20"/>
          <w:szCs w:val="20"/>
        </w:rPr>
        <w:t>defines decent housing as a house that meets three primary criteria: structural safety, adequate minimum living space, and a healthy environment. Houses that fail to meet one or more of these criteria are classified as uninhabitable housing (RTLH). The prevalence of uninhabitable housing in Indonesia presents a significant challenge in the housing and settlement sector. The existence of RTLH reflects structural and multidimensional poverty issues, which include economic limitations, lack of access to basic infrastructure, and low community capacity to meet minimum housing standards. According to</w:t>
      </w:r>
      <w:r w:rsidR="00E06D77">
        <w:rPr>
          <w:rFonts w:ascii="Arial" w:eastAsia="Arial" w:hAnsi="Arial" w:cs="Arial"/>
          <w:color w:val="000000"/>
          <w:sz w:val="20"/>
          <w:szCs w:val="20"/>
        </w:rPr>
        <w:t xml:space="preserve"> </w:t>
      </w:r>
      <w:r w:rsidR="005A3C34">
        <w:rPr>
          <w:rFonts w:ascii="Arial" w:eastAsia="Arial" w:hAnsi="Arial" w:cs="Arial"/>
          <w:color w:val="000000"/>
          <w:sz w:val="20"/>
          <w:szCs w:val="20"/>
          <w:lang w:val="de-LU"/>
        </w:rPr>
        <w:fldChar w:fldCharType="begin"/>
      </w:r>
      <w:r w:rsidR="005A3C34">
        <w:rPr>
          <w:rFonts w:ascii="Arial" w:eastAsia="Arial" w:hAnsi="Arial" w:cs="Arial"/>
          <w:color w:val="000000"/>
          <w:sz w:val="20"/>
          <w:szCs w:val="20"/>
        </w:rPr>
        <w:instrText>ADDIN CSL_CITATION {"citationItems":[{"id":"ITEM-1","itemData":{"URL":"https://pembiayaan.pu.go.id/news/detail/162/Tingkatkan-Akses-Kepemilikan-Rumah-Layak-","author":[{"dropping-particle":"","family":"Kementerian Pekerjaan Umum dan Perumahan Rakyat","given":"","non-dropping-particle":"","parse-names":false,"suffix":""}],"container-title":"Kementerian Pekerjaan Umum dan Perumahan Rakyat","id":"ITEM-1","issued":{"date-parts":[["2023"]]},"title":"Tingkatkan Akses Kepemilikan Rumah Layak Huni, Kementerian PUPR Tambah Kuota Bantuan Subsidi Perumahan Tahun 2023","type":"webpage"},"uris":["http://www.mendeley.com/documents/?uuid=9a5c2614-4fc0-4623-ac14-b29cbe6eaea3"]}],"mendeley":{"formattedCitation":"(Kementerian Pekerjaan Umum dan Perumahan Rakyat, 2023)","manualFormatting":"Kementerian Pekerjaan Umum dan Perumahan Rakyat","plainTextFormattedCitation":"(Kementerian Pekerjaan Umum dan Perumahan Rakyat, 2023)","previouslyFormattedCitation":"(Kementerian Pekerjaan Umum dan Perumahan Rakyat, 2023)"},"properties":{"noteIndex":0},"schema":"https://github.com/citation-style-language/schema/raw/master/csl-citation.json"}</w:instrText>
      </w:r>
      <w:r w:rsidR="005A3C34">
        <w:rPr>
          <w:rFonts w:ascii="Arial" w:eastAsia="Arial" w:hAnsi="Arial" w:cs="Arial"/>
          <w:color w:val="000000"/>
          <w:sz w:val="20"/>
          <w:szCs w:val="20"/>
          <w:lang w:val="de-LU"/>
        </w:rPr>
        <w:fldChar w:fldCharType="separate"/>
      </w:r>
      <w:r w:rsidR="005A3C34">
        <w:rPr>
          <w:rFonts w:ascii="Arial" w:eastAsia="Arial" w:hAnsi="Arial" w:cs="Arial"/>
          <w:noProof/>
          <w:color w:val="000000"/>
          <w:sz w:val="20"/>
          <w:szCs w:val="20"/>
        </w:rPr>
        <w:t>Kementerian Pekerjaan Umum dan Perumahan Rakyat</w:t>
      </w:r>
      <w:r w:rsidR="005A3C34">
        <w:rPr>
          <w:rFonts w:ascii="Arial" w:eastAsia="Arial" w:hAnsi="Arial" w:cs="Arial"/>
          <w:color w:val="000000"/>
          <w:sz w:val="20"/>
          <w:szCs w:val="20"/>
        </w:rPr>
        <w:fldChar w:fldCharType="end"/>
      </w:r>
      <w:r w:rsidR="005A3C34">
        <w:rPr>
          <w:rFonts w:ascii="Arial" w:eastAsia="Arial" w:hAnsi="Arial" w:cs="Arial"/>
          <w:color w:val="000000"/>
          <w:sz w:val="20"/>
          <w:szCs w:val="20"/>
        </w:rPr>
        <w:t xml:space="preserve"> (PUPR), hingga tahun 2022, </w:t>
      </w:r>
      <w:r w:rsidR="00E06D77" w:rsidRPr="00E06D77">
        <w:rPr>
          <w:rFonts w:ascii="Arial" w:eastAsia="Arial" w:hAnsi="Arial" w:cs="Arial"/>
          <w:color w:val="000000"/>
          <w:sz w:val="20"/>
          <w:szCs w:val="20"/>
        </w:rPr>
        <w:t>Indonesia still had approximately 12.7 million RTLH units distributed across all provinces, particularly in rural and underdeveloped regions</w:t>
      </w:r>
      <w:r w:rsidR="00E06D77">
        <w:rPr>
          <w:rFonts w:ascii="Arial" w:eastAsia="Arial" w:hAnsi="Arial" w:cs="Arial"/>
          <w:color w:val="000000"/>
          <w:sz w:val="20"/>
          <w:szCs w:val="20"/>
        </w:rPr>
        <w:t xml:space="preserve"> </w:t>
      </w:r>
      <w:r w:rsidR="005A3C34">
        <w:rPr>
          <w:rFonts w:ascii="Arial" w:eastAsia="Arial" w:hAnsi="Arial" w:cs="Arial"/>
          <w:color w:val="000000"/>
          <w:sz w:val="20"/>
          <w:szCs w:val="20"/>
          <w:lang w:val="de-LU"/>
        </w:rPr>
        <w:fldChar w:fldCharType="begin"/>
      </w:r>
      <w:r w:rsidR="005A3C34">
        <w:rPr>
          <w:rFonts w:ascii="Arial" w:eastAsia="Arial" w:hAnsi="Arial" w:cs="Arial"/>
          <w:color w:val="000000"/>
          <w:sz w:val="20"/>
          <w:szCs w:val="20"/>
        </w:rPr>
        <w:instrText>ADDIN CSL_CITATION {"citationItems":[{"id":"ITEM-1","itemData":{"URL":"https://www.merdeka.com/uang/data-pupr-127-juta-orang-indonesia-tak-punya-rumah-tiap-tahun-bertambah-740000-orang-6436-mvk.html","author":[{"dropping-particle":"","family":"Merdeka.com","given":"","non-dropping-particle":"","parse-names":false,"suffix":""}],"container-title":"Merdeka.com","id":"ITEM-1","issued":{"date-parts":[["2023"]]},"title":"Data PUPR: 12,7 Juta Orang Indonesia Tak Punya Rumah, Tiap Tahun Bertambah 740.000 Orang","type":"webpage"},"uris":["http://www.mendeley.com/documents/?uuid=e68193e3-8a1a-408d-ab27-1c30f3fd9a91"]}],"mendeley":{"formattedCitation":"(Merdeka.com, 2023)","plainTextFormattedCitation":"(Merdeka.com, 2023)","previouslyFormattedCitation":"(Merdeka.com, 2023)"},"properties":{"noteIndex":0},"schema":"https://github.com/citation-style-language/schema/raw/master/csl-citation.json"}</w:instrText>
      </w:r>
      <w:r w:rsidR="005A3C34">
        <w:rPr>
          <w:rFonts w:ascii="Arial" w:eastAsia="Arial" w:hAnsi="Arial" w:cs="Arial"/>
          <w:color w:val="000000"/>
          <w:sz w:val="20"/>
          <w:szCs w:val="20"/>
          <w:lang w:val="de-LU"/>
        </w:rPr>
        <w:fldChar w:fldCharType="separate"/>
      </w:r>
      <w:r w:rsidR="005A3C34">
        <w:rPr>
          <w:rFonts w:ascii="Arial" w:eastAsia="Arial" w:hAnsi="Arial" w:cs="Arial"/>
          <w:noProof/>
          <w:color w:val="000000"/>
          <w:sz w:val="20"/>
          <w:szCs w:val="20"/>
        </w:rPr>
        <w:t>(Merdeka.com, 2023)</w:t>
      </w:r>
      <w:r w:rsidR="005A3C34">
        <w:rPr>
          <w:rFonts w:ascii="Arial" w:eastAsia="Arial" w:hAnsi="Arial" w:cs="Arial"/>
          <w:color w:val="000000"/>
          <w:sz w:val="20"/>
          <w:szCs w:val="20"/>
        </w:rPr>
        <w:fldChar w:fldCharType="end"/>
      </w:r>
      <w:r w:rsidR="00E06D77">
        <w:rPr>
          <w:rFonts w:ascii="Arial" w:eastAsia="Arial" w:hAnsi="Arial" w:cs="Arial"/>
          <w:color w:val="000000"/>
          <w:sz w:val="20"/>
          <w:szCs w:val="20"/>
        </w:rPr>
        <w:t xml:space="preserve">. </w:t>
      </w:r>
      <w:r w:rsidR="00E06D77" w:rsidRPr="00E06D77">
        <w:rPr>
          <w:rFonts w:ascii="Arial" w:eastAsia="Arial" w:hAnsi="Arial" w:cs="Arial"/>
          <w:color w:val="000000"/>
          <w:sz w:val="20"/>
          <w:szCs w:val="20"/>
        </w:rPr>
        <w:t>This situation indicates that addressing the RTLH problem requires more than technical or physical solutions; it demands an integrated strategy that incorporates social, economic, and institutional aspects, including the strengthening of community participation.</w:t>
      </w:r>
    </w:p>
    <w:p w:rsidR="00E52122" w:rsidRDefault="00E06D77"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rPr>
      </w:pPr>
      <w:r w:rsidRPr="00E06D77">
        <w:rPr>
          <w:rFonts w:ascii="Arial" w:eastAsia="Arial" w:hAnsi="Arial" w:cs="Arial"/>
          <w:color w:val="000000"/>
          <w:sz w:val="20"/>
          <w:szCs w:val="20"/>
        </w:rPr>
        <w:t>At the local level, Pacitan Regency, located in East Java Province, faces similar serious challenges regarding uninhabitable housing. Despite being known for its natural beauty and promising tourism potential, much of Pacitan remains dominated by rural areas struggling with limited basic infrastructure and high poverty rates. Data from the Housing, Settlement Area, and Land Affairs Office of Pacitan Regency indicate that as of 2024, there are 15,866 units of RTLH spread across 12 districts. This figure reflects updated data from an initial total of 20,000 RTLH units, of which 5,000 units have been successfully rehabilitated over the past three years</w:t>
      </w:r>
      <w:r>
        <w:rPr>
          <w:rFonts w:ascii="Arial" w:eastAsia="Arial" w:hAnsi="Arial" w:cs="Arial"/>
          <w:color w:val="000000"/>
          <w:sz w:val="20"/>
          <w:szCs w:val="20"/>
        </w:rPr>
        <w:t xml:space="preserve"> </w:t>
      </w:r>
      <w:r w:rsidR="005A3C34">
        <w:rPr>
          <w:rFonts w:ascii="Arial" w:eastAsia="Arial" w:hAnsi="Arial" w:cs="Arial"/>
          <w:color w:val="000000"/>
          <w:sz w:val="20"/>
          <w:szCs w:val="20"/>
          <w:lang w:val="de-LU"/>
        </w:rPr>
        <w:fldChar w:fldCharType="begin"/>
      </w:r>
      <w:r w:rsidR="005A3C34">
        <w:rPr>
          <w:rFonts w:ascii="Arial" w:eastAsia="Arial" w:hAnsi="Arial" w:cs="Arial"/>
          <w:color w:val="000000"/>
          <w:sz w:val="20"/>
          <w:szCs w:val="20"/>
        </w:rPr>
        <w:instrText>ADDIN CSL_CITATION {"citationItems":[{"id":"ITEM-1","itemData":{"URL":"https://www.grindulufm.co.id/2024/09/belum-tentu-miskin-15866-rumah-warga.html","author":[{"dropping-particle":"","family":"Grindulu FM","given":"","non-dropping-particle":"","parse-names":false,"suffix":""}],"container-title":"Grindulu FM","id":"ITEM-1","issued":{"date-parts":[["2024"]]},"title":"Belum Tentu Miskin, 15.866 Rumah Warga Pacitan Tidak Layak Huni","type":"webpage"},"uris":["http://www.mendeley.com/documents/?uuid=6b8a16da-b22a-42a9-8936-d53d7163e15f"]}],"mendeley":{"formattedCitation":"(Grindulu FM, 2024)","plainTextFormattedCitation":"(Grindulu FM, 2024)","previouslyFormattedCitation":"(Grindulu FM, 2024)"},"properties":{"noteIndex":0},"schema":"https://github.com/citation-style-language/schema/raw/master/csl-citation.json"}</w:instrText>
      </w:r>
      <w:r w:rsidR="005A3C34">
        <w:rPr>
          <w:rFonts w:ascii="Arial" w:eastAsia="Arial" w:hAnsi="Arial" w:cs="Arial"/>
          <w:color w:val="000000"/>
          <w:sz w:val="20"/>
          <w:szCs w:val="20"/>
          <w:lang w:val="de-LU"/>
        </w:rPr>
        <w:fldChar w:fldCharType="separate"/>
      </w:r>
      <w:r w:rsidR="005A3C34">
        <w:rPr>
          <w:rFonts w:ascii="Arial" w:eastAsia="Arial" w:hAnsi="Arial" w:cs="Arial"/>
          <w:noProof/>
          <w:color w:val="000000"/>
          <w:sz w:val="20"/>
          <w:szCs w:val="20"/>
        </w:rPr>
        <w:t>(Grindulu FM, 2024)</w:t>
      </w:r>
      <w:r w:rsidR="005A3C34">
        <w:rPr>
          <w:rFonts w:ascii="Arial" w:eastAsia="Arial" w:hAnsi="Arial" w:cs="Arial"/>
          <w:color w:val="000000"/>
          <w:sz w:val="20"/>
          <w:szCs w:val="20"/>
        </w:rPr>
        <w:fldChar w:fldCharType="end"/>
      </w:r>
      <w:r>
        <w:rPr>
          <w:rFonts w:ascii="Arial" w:eastAsia="Arial" w:hAnsi="Arial" w:cs="Arial"/>
          <w:color w:val="000000"/>
          <w:sz w:val="20"/>
          <w:szCs w:val="20"/>
        </w:rPr>
        <w:t xml:space="preserve">. </w:t>
      </w:r>
      <w:r w:rsidRPr="00E06D77">
        <w:rPr>
          <w:rFonts w:ascii="Arial" w:eastAsia="Arial" w:hAnsi="Arial" w:cs="Arial"/>
          <w:color w:val="000000"/>
          <w:sz w:val="20"/>
          <w:szCs w:val="20"/>
        </w:rPr>
        <w:t xml:space="preserve">These figures demonstrate that the RTLH problem is not solely a national phenomenon but also a strategic regional development issue that must be addressed comprehensively and sustainably. Local and central governments have made efforts to mitigate </w:t>
      </w:r>
      <w:r w:rsidRPr="00E06D77">
        <w:rPr>
          <w:rFonts w:ascii="Arial" w:eastAsia="Arial" w:hAnsi="Arial" w:cs="Arial"/>
          <w:color w:val="000000"/>
          <w:sz w:val="20"/>
          <w:szCs w:val="20"/>
        </w:rPr>
        <w:lastRenderedPageBreak/>
        <w:t>this problem through various intervention programs, including the Self-Help Housing Stimulant Assistance (BSPS), the Special Allocation Fund (DAK) for housing, and the use of Regional Budget (APBD) funds under the home improvement program scheme.</w:t>
      </w:r>
    </w:p>
    <w:p w:rsidR="008D31B6" w:rsidRDefault="00E06D77"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en-ID"/>
        </w:rPr>
      </w:pPr>
      <w:r w:rsidRPr="00E06D77">
        <w:rPr>
          <w:rFonts w:ascii="Arial" w:eastAsia="Arial" w:hAnsi="Arial" w:cs="Arial"/>
          <w:color w:val="000000"/>
          <w:sz w:val="20"/>
          <w:szCs w:val="20"/>
          <w:lang w:val="en-ID"/>
        </w:rPr>
        <w:t xml:space="preserve">In 2023, the BSPS program succeeded in rehabilitating 1,818 units of RTLH. However, this achievement still falls far short of the overall needs. By the end of 2023, approximately 15,000 RTLH units remained across 11 districts in Pacitan Regency </w:t>
      </w:r>
      <w:r>
        <w:rPr>
          <w:rFonts w:ascii="Arial" w:eastAsia="Arial" w:hAnsi="Arial" w:cs="Arial"/>
          <w:color w:val="000000"/>
          <w:sz w:val="20"/>
          <w:szCs w:val="20"/>
          <w:lang w:val="en-ID"/>
        </w:rPr>
        <w:t xml:space="preserve"> </w:t>
      </w:r>
      <w:r w:rsidR="005A3C34">
        <w:rPr>
          <w:rFonts w:ascii="Arial" w:eastAsia="Arial" w:hAnsi="Arial" w:cs="Arial"/>
          <w:color w:val="000000"/>
          <w:sz w:val="20"/>
          <w:szCs w:val="20"/>
          <w:lang w:val="en-ID"/>
        </w:rPr>
        <w:fldChar w:fldCharType="begin"/>
      </w:r>
      <w:r w:rsidR="005A3C34">
        <w:rPr>
          <w:rFonts w:ascii="Arial" w:eastAsia="Arial" w:hAnsi="Arial" w:cs="Arial"/>
          <w:color w:val="000000"/>
          <w:sz w:val="20"/>
          <w:szCs w:val="20"/>
          <w:lang w:val="en-ID"/>
        </w:rPr>
        <w:instrText>ADDIN CSL_CITATION {"citationItems":[{"id":"ITEM-1","itemData":{"URL":"https://www.grindulufm.co.id/2025/01/pemkab-klaim-rumah-tidak-layak-huni.html","author":[{"dropping-particle":"","family":"Grindulu FM","given":"","non-dropping-particle":"","parse-names":false,"suffix":""}],"container-title":"Grindulu FM","id":"ITEM-1","issued":{"date-parts":[["2025"]]},"title":"Pemkab Klaim Rumah Tidak Layak Huni Bekurang Meski Masih Ada “PR” 15 Ribu Unit","type":"webpage"},"uris":["http://www.mendeley.com/documents/?uuid=98c41a9a-013f-4464-8454-f667ce21671f"]}],"mendeley":{"formattedCitation":"(Grindulu FM, 2025)","plainTextFormattedCitation":"(Grindulu FM, 2025)","previouslyFormattedCitation":"(Grindulu FM, 2025)"},"properties":{"noteIndex":0},"schema":"https://github.com/citation-style-language/schema/raw/master/csl-citation.json"}</w:instrText>
      </w:r>
      <w:r w:rsidR="005A3C34">
        <w:rPr>
          <w:rFonts w:ascii="Arial" w:eastAsia="Arial" w:hAnsi="Arial" w:cs="Arial"/>
          <w:color w:val="000000"/>
          <w:sz w:val="20"/>
          <w:szCs w:val="20"/>
          <w:lang w:val="en-ID"/>
        </w:rPr>
        <w:fldChar w:fldCharType="separate"/>
      </w:r>
      <w:r w:rsidR="005A3C34">
        <w:rPr>
          <w:rFonts w:ascii="Arial" w:eastAsia="Arial" w:hAnsi="Arial" w:cs="Arial"/>
          <w:noProof/>
          <w:color w:val="000000"/>
          <w:sz w:val="20"/>
          <w:szCs w:val="20"/>
          <w:lang w:val="en-ID"/>
        </w:rPr>
        <w:t>(Grindulu FM, 2025)</w:t>
      </w:r>
      <w:r w:rsidR="005A3C34">
        <w:rPr>
          <w:rFonts w:ascii="Arial" w:eastAsia="Arial" w:hAnsi="Arial" w:cs="Arial"/>
          <w:color w:val="000000"/>
          <w:sz w:val="20"/>
          <w:szCs w:val="20"/>
        </w:rPr>
        <w:fldChar w:fldCharType="end"/>
      </w:r>
      <w:r w:rsidR="005A3C34">
        <w:rPr>
          <w:rFonts w:ascii="Arial" w:eastAsia="Arial" w:hAnsi="Arial" w:cs="Arial"/>
          <w:color w:val="000000"/>
          <w:sz w:val="20"/>
          <w:szCs w:val="20"/>
          <w:lang w:val="en-ID"/>
        </w:rPr>
        <w:t xml:space="preserve">. </w:t>
      </w:r>
      <w:r w:rsidRPr="00E06D77">
        <w:rPr>
          <w:rFonts w:ascii="Arial" w:eastAsia="Arial" w:hAnsi="Arial" w:cs="Arial"/>
          <w:color w:val="000000"/>
          <w:sz w:val="20"/>
          <w:szCs w:val="20"/>
          <w:lang w:val="en-ID"/>
        </w:rPr>
        <w:t>Thus, rehabilitation efforts have only addressed around 12% of the total housing need. This means thousands of families continue to live in substandard housing conditions, posing a significant challenge to achieving inclusive housing development in Pacitan Regency. This problem is further complicated by the fact that the majority of program beneficiaries come from low-income communities (MBR), who lack the financial capacity and access to information needed to independently renovate their homes. Moreover, several shortcomings remain in the approaches that have been implemented thus far. First, interventions tend to follow a top-down model, with the government as the sole provider of assistance and communities acting as passive recipients. Second, the prevailing approach remains largely charitable, focusing only on resolving the physical conditions of housing without empowering communities socially and economically. Third, there has yet to be an integration of local socio-cultural values, particularly Islamic values, which could strengthen the spirit of mutual cooperation (gotong royong) and community participation.</w:t>
      </w:r>
      <w:r>
        <w:rPr>
          <w:rFonts w:ascii="Arial" w:eastAsia="Arial" w:hAnsi="Arial" w:cs="Arial"/>
          <w:color w:val="000000"/>
          <w:sz w:val="20"/>
          <w:szCs w:val="20"/>
          <w:lang w:val="en-ID"/>
        </w:rPr>
        <w:t xml:space="preserve"> </w:t>
      </w:r>
    </w:p>
    <w:p w:rsidR="00E52122" w:rsidRDefault="00FE6D06"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en-ID"/>
        </w:rPr>
      </w:pPr>
      <w:r w:rsidRPr="00FE6D06">
        <w:rPr>
          <w:rFonts w:ascii="Arial" w:eastAsia="Arial" w:hAnsi="Arial" w:cs="Arial"/>
          <w:color w:val="000000"/>
          <w:sz w:val="20"/>
          <w:szCs w:val="20"/>
          <w:lang w:val="en-ID"/>
        </w:rPr>
        <w:t xml:space="preserve">In the context of Islamic Community Development (Pengembangan Masyarakat Islam/PMI), addressing social problems such as inadequate housing (Rumah Tidak Layak Huni/RTLH) ideally requires a comprehensive and transformative approach. This implies that interventions should not merely focus on improving the physical condition of houses but should also aim to foster collective awareness, social independence, and active community participation in development processes. Islam, as a religion that governs all aspects of human life, places considerable emphasis on housing issues. The Qur'an states that a home serves as a place of </w:t>
      </w:r>
      <w:proofErr w:type="spellStart"/>
      <w:r w:rsidRPr="00FE6D06">
        <w:rPr>
          <w:rFonts w:ascii="Arial" w:eastAsia="Arial" w:hAnsi="Arial" w:cs="Arial"/>
          <w:color w:val="000000"/>
          <w:sz w:val="20"/>
          <w:szCs w:val="20"/>
          <w:lang w:val="en-ID"/>
        </w:rPr>
        <w:t>tranquility</w:t>
      </w:r>
      <w:proofErr w:type="spellEnd"/>
      <w:r w:rsidRPr="00FE6D06">
        <w:rPr>
          <w:rFonts w:ascii="Arial" w:eastAsia="Arial" w:hAnsi="Arial" w:cs="Arial"/>
          <w:color w:val="000000"/>
          <w:sz w:val="20"/>
          <w:szCs w:val="20"/>
          <w:lang w:val="en-ID"/>
        </w:rPr>
        <w:t xml:space="preserve"> and security for human beings (QS. An-</w:t>
      </w:r>
      <w:proofErr w:type="spellStart"/>
      <w:r w:rsidRPr="00FE6D06">
        <w:rPr>
          <w:rFonts w:ascii="Arial" w:eastAsia="Arial" w:hAnsi="Arial" w:cs="Arial"/>
          <w:color w:val="000000"/>
          <w:sz w:val="20"/>
          <w:szCs w:val="20"/>
          <w:lang w:val="en-ID"/>
        </w:rPr>
        <w:t>Nahl</w:t>
      </w:r>
      <w:proofErr w:type="spellEnd"/>
      <w:r w:rsidRPr="00FE6D06">
        <w:rPr>
          <w:rFonts w:ascii="Arial" w:eastAsia="Arial" w:hAnsi="Arial" w:cs="Arial"/>
          <w:color w:val="000000"/>
          <w:sz w:val="20"/>
          <w:szCs w:val="20"/>
          <w:lang w:val="en-ID"/>
        </w:rPr>
        <w:t xml:space="preserve">: 80). Furthermore, the concept of </w:t>
      </w:r>
      <w:proofErr w:type="spellStart"/>
      <w:r w:rsidR="00C3009A" w:rsidRPr="00C3009A">
        <w:rPr>
          <w:rFonts w:ascii="Arial" w:eastAsia="Arial" w:hAnsi="Arial" w:cs="Arial"/>
          <w:i/>
          <w:color w:val="000000"/>
          <w:sz w:val="20"/>
          <w:szCs w:val="20"/>
          <w:lang w:val="en-ID"/>
        </w:rPr>
        <w:t>maqashid</w:t>
      </w:r>
      <w:proofErr w:type="spellEnd"/>
      <w:r w:rsidR="00C3009A" w:rsidRPr="00C3009A">
        <w:rPr>
          <w:rFonts w:ascii="Arial" w:eastAsia="Arial" w:hAnsi="Arial" w:cs="Arial"/>
          <w:i/>
          <w:color w:val="000000"/>
          <w:sz w:val="20"/>
          <w:szCs w:val="20"/>
          <w:lang w:val="en-ID"/>
        </w:rPr>
        <w:t xml:space="preserve"> shariah</w:t>
      </w:r>
      <w:r w:rsidRPr="00FE6D06">
        <w:rPr>
          <w:rFonts w:ascii="Arial" w:eastAsia="Arial" w:hAnsi="Arial" w:cs="Arial"/>
          <w:color w:val="000000"/>
          <w:sz w:val="20"/>
          <w:szCs w:val="20"/>
          <w:lang w:val="en-ID"/>
        </w:rPr>
        <w:t>, or the fundamental objectives of Islamic law</w:t>
      </w:r>
      <w:r w:rsidR="00C3009A">
        <w:rPr>
          <w:rFonts w:ascii="Arial" w:eastAsia="Arial" w:hAnsi="Arial" w:cs="Arial"/>
          <w:color w:val="000000"/>
          <w:sz w:val="20"/>
          <w:szCs w:val="20"/>
          <w:lang w:val="en-ID"/>
        </w:rPr>
        <w:t xml:space="preserve">. </w:t>
      </w:r>
      <w:r w:rsidRPr="00FE6D06">
        <w:rPr>
          <w:rFonts w:ascii="Arial" w:eastAsia="Arial" w:hAnsi="Arial" w:cs="Arial"/>
          <w:color w:val="000000"/>
          <w:sz w:val="20"/>
          <w:szCs w:val="20"/>
          <w:lang w:val="en-ID"/>
        </w:rPr>
        <w:t>such as the preservation of life, wealth, and lineage</w:t>
      </w:r>
      <w:r w:rsidR="00C3009A">
        <w:rPr>
          <w:rFonts w:ascii="Arial" w:eastAsia="Arial" w:hAnsi="Arial" w:cs="Arial"/>
          <w:color w:val="000000"/>
          <w:sz w:val="20"/>
          <w:szCs w:val="20"/>
          <w:lang w:val="en-ID"/>
        </w:rPr>
        <w:t xml:space="preserve">. </w:t>
      </w:r>
      <w:r w:rsidRPr="00FE6D06">
        <w:rPr>
          <w:rFonts w:ascii="Arial" w:eastAsia="Arial" w:hAnsi="Arial" w:cs="Arial"/>
          <w:color w:val="000000"/>
          <w:sz w:val="20"/>
          <w:szCs w:val="20"/>
          <w:lang w:val="en-ID"/>
        </w:rPr>
        <w:t xml:space="preserve">are intrinsically linked to the availability of adequate and healthy housing. Islam also promotes values such as </w:t>
      </w:r>
      <w:proofErr w:type="spellStart"/>
      <w:r w:rsidR="00C3009A" w:rsidRPr="00C3009A">
        <w:rPr>
          <w:rFonts w:ascii="Arial" w:eastAsia="Arial" w:hAnsi="Arial" w:cs="Arial"/>
          <w:i/>
          <w:color w:val="000000"/>
          <w:sz w:val="20"/>
          <w:szCs w:val="20"/>
          <w:lang w:val="en-ID"/>
        </w:rPr>
        <w:t>ta’awun</w:t>
      </w:r>
      <w:proofErr w:type="spellEnd"/>
      <w:r w:rsidRPr="00FE6D06">
        <w:rPr>
          <w:rFonts w:ascii="Arial" w:eastAsia="Arial" w:hAnsi="Arial" w:cs="Arial"/>
          <w:color w:val="000000"/>
          <w:sz w:val="20"/>
          <w:szCs w:val="20"/>
          <w:lang w:val="en-ID"/>
        </w:rPr>
        <w:t xml:space="preserve"> (mutual assistance), </w:t>
      </w:r>
      <w:proofErr w:type="spellStart"/>
      <w:r w:rsidR="00C3009A" w:rsidRPr="00C3009A">
        <w:rPr>
          <w:rFonts w:ascii="Arial" w:eastAsia="Arial" w:hAnsi="Arial" w:cs="Arial"/>
          <w:i/>
          <w:color w:val="000000"/>
          <w:sz w:val="20"/>
          <w:szCs w:val="20"/>
          <w:lang w:val="en-ID"/>
        </w:rPr>
        <w:t>ukhuwah</w:t>
      </w:r>
      <w:proofErr w:type="spellEnd"/>
      <w:r w:rsidRPr="00FE6D06">
        <w:rPr>
          <w:rFonts w:ascii="Arial" w:eastAsia="Arial" w:hAnsi="Arial" w:cs="Arial"/>
          <w:color w:val="000000"/>
          <w:sz w:val="20"/>
          <w:szCs w:val="20"/>
          <w:lang w:val="en-ID"/>
        </w:rPr>
        <w:t xml:space="preserve"> (brotherhood), and </w:t>
      </w:r>
      <w:proofErr w:type="spellStart"/>
      <w:r w:rsidR="009D4016" w:rsidRPr="009D4016">
        <w:rPr>
          <w:rFonts w:ascii="Arial" w:eastAsia="Arial" w:hAnsi="Arial" w:cs="Arial"/>
          <w:i/>
          <w:color w:val="000000"/>
          <w:sz w:val="20"/>
          <w:szCs w:val="20"/>
          <w:lang w:val="en-ID"/>
        </w:rPr>
        <w:t>maslahah</w:t>
      </w:r>
      <w:proofErr w:type="spellEnd"/>
      <w:r w:rsidRPr="00FE6D06">
        <w:rPr>
          <w:rFonts w:ascii="Arial" w:eastAsia="Arial" w:hAnsi="Arial" w:cs="Arial"/>
          <w:color w:val="000000"/>
          <w:sz w:val="20"/>
          <w:szCs w:val="20"/>
          <w:lang w:val="en-ID"/>
        </w:rPr>
        <w:t xml:space="preserve"> (public </w:t>
      </w:r>
      <w:r w:rsidRPr="00FE6D06">
        <w:rPr>
          <w:rFonts w:ascii="Arial" w:eastAsia="Arial" w:hAnsi="Arial" w:cs="Arial"/>
          <w:color w:val="000000"/>
          <w:sz w:val="20"/>
          <w:szCs w:val="20"/>
          <w:lang w:val="en-ID"/>
        </w:rPr>
        <w:lastRenderedPageBreak/>
        <w:t>benefit), which should serve as guiding principles in designing social policies and programs, including effor</w:t>
      </w:r>
      <w:r>
        <w:rPr>
          <w:rFonts w:ascii="Arial" w:eastAsia="Arial" w:hAnsi="Arial" w:cs="Arial"/>
          <w:color w:val="000000"/>
          <w:sz w:val="20"/>
          <w:szCs w:val="20"/>
          <w:lang w:val="en-ID"/>
        </w:rPr>
        <w:t xml:space="preserve">ts to address inadequate housing </w:t>
      </w:r>
      <w:r w:rsidR="005A3C34">
        <w:rPr>
          <w:rFonts w:ascii="Arial" w:eastAsia="Arial" w:hAnsi="Arial" w:cs="Arial"/>
          <w:color w:val="000000"/>
          <w:sz w:val="20"/>
          <w:szCs w:val="20"/>
          <w:lang w:val="en-ID"/>
        </w:rPr>
        <w:fldChar w:fldCharType="begin"/>
      </w:r>
      <w:r w:rsidR="005A3C34">
        <w:rPr>
          <w:rFonts w:ascii="Arial" w:eastAsia="Arial" w:hAnsi="Arial" w:cs="Arial"/>
          <w:color w:val="000000"/>
          <w:sz w:val="20"/>
          <w:szCs w:val="20"/>
          <w:lang w:val="en-ID"/>
        </w:rPr>
        <w:instrText>ADDIN CSL_CITATION {"citationItems":[{"id":"ITEM-1","itemData":{"abstract":"Pemberdayaan masyarakat dapat menjadi alternatif dalam pengelolaan dana umat agar mencapai azas kebermanfaatan. Artikel ini bertujuan untuk melihat sejarah, prinsip dasar, aktor, kelompok rentan, potensi dan tantangan pemberdayaan masyarakat dalam perspektif islam. Penulisan artikel ini menggunakan pendekatan kualitatif dengan metode studi kepustakaan (library research). Artikel ini menggunakan Al-Qur’an dan interpretasi berupa kitab tafsir sebagai data primer, serta kepustakaan lain dalam bentuk buku, kajian dan jurnal yang relevan sebagai data sekunder. Data yang dikumpulkan kemudian dianalisis menggunakan teknik maudhu'i. Prinsip masyarakat dalam islam berpusat pada 3 prinsip utama, yaitu persaudaraan (ukhuwah), Prinsip tolong-menolong (ta’awun), dan Prinsip keadilan atau persamaan derajat. Adapun sifat pemberdayaan sejalan dengan dakwah, dapat dikerjakan secara perseorangan (fardiyah), atau secara kolektif (jam’iyah), dengan membekali masyarakat dengan kemampuan untuk melakukan perubahan. Adapun perubahan yang dimaksudkan memiliki empat ciri khas, yaitu (1) perubahan yang bersifat kolektif, (2) tidak diskriminatif, (3) dilakukan atas izin dan untuk mendapatkan keridhaan Allah, serta (4) mengutamakan perubahan karakter. Orang yang perlu diberdayakan disebut mustad’afin, yang mencakup: fakir, miskin, janda, anak yatim, dan orang yang berjuang di jalan Allah. Adapun pemberdayaan masyarakat dapat diterapkan melalui kegiatan yang bersifat ibadah maupun kegiatan yang bersifat muamalah. Pemberdayaan masyarakat dapat dikategorikan sebagai shadaqah jariyah, jika manfaatnya dapat dirasakan secara berkelanjutan.","author":[{"dropping-particle":"","family":"Fatkhullah","given":"Mukhammad","non-dropping-particle":"","parse-names":false,"suffix":""}],"container-title":"Jurnal ekonomika dan Bisnis Islam","id":"ITEM-1","issue":"1","issued":{"date-parts":[["2023"]]},"page":"137-153","title":"Pemberdayaan Masyarakat: Konsep, Peluang Dan Tantangan Dalam Perspektif Islam","type":"article-journal","volume":"6"},"uris":["http://www.mendeley.com/documents/?uuid=861783d7-8603-47a0-81b3-f5a438c5c9d1"]}],"mendeley":{"formattedCitation":"(Fatkhullah, 2023)","plainTextFormattedCitation":"(Fatkhullah, 2023)","previouslyFormattedCitation":"(Fatkhullah, 2023)"},"properties":{"noteIndex":0},"schema":"https://github.com/citation-style-language/schema/raw/master/csl-citation.json"}</w:instrText>
      </w:r>
      <w:r w:rsidR="005A3C34">
        <w:rPr>
          <w:rFonts w:ascii="Arial" w:eastAsia="Arial" w:hAnsi="Arial" w:cs="Arial"/>
          <w:color w:val="000000"/>
          <w:sz w:val="20"/>
          <w:szCs w:val="20"/>
          <w:lang w:val="en-ID"/>
        </w:rPr>
        <w:fldChar w:fldCharType="separate"/>
      </w:r>
      <w:r w:rsidR="005A3C34">
        <w:rPr>
          <w:rFonts w:ascii="Arial" w:eastAsia="Arial" w:hAnsi="Arial" w:cs="Arial"/>
          <w:noProof/>
          <w:color w:val="000000"/>
          <w:sz w:val="20"/>
          <w:szCs w:val="20"/>
          <w:lang w:val="en-ID"/>
        </w:rPr>
        <w:t>(Fatkhullah, 2023)</w:t>
      </w:r>
      <w:r w:rsidR="005A3C34">
        <w:rPr>
          <w:rFonts w:ascii="Arial" w:eastAsia="Arial" w:hAnsi="Arial" w:cs="Arial"/>
          <w:color w:val="000000"/>
          <w:sz w:val="20"/>
          <w:szCs w:val="20"/>
        </w:rPr>
        <w:fldChar w:fldCharType="end"/>
      </w:r>
      <w:r w:rsidR="005A3C34">
        <w:rPr>
          <w:rFonts w:ascii="Arial" w:eastAsia="Arial" w:hAnsi="Arial" w:cs="Arial"/>
          <w:color w:val="000000"/>
          <w:sz w:val="20"/>
          <w:szCs w:val="20"/>
          <w:lang w:val="en-ID"/>
        </w:rPr>
        <w:t xml:space="preserve">. </w:t>
      </w:r>
    </w:p>
    <w:p w:rsidR="008D31B6" w:rsidRDefault="00FE6D06"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en-ID"/>
        </w:rPr>
      </w:pPr>
      <w:r w:rsidRPr="00FE6D06">
        <w:rPr>
          <w:rFonts w:ascii="Arial" w:eastAsia="Arial" w:hAnsi="Arial" w:cs="Arial"/>
          <w:color w:val="000000"/>
          <w:sz w:val="20"/>
          <w:szCs w:val="20"/>
          <w:lang w:val="en-ID"/>
        </w:rPr>
        <w:t xml:space="preserve">The value of </w:t>
      </w:r>
      <w:proofErr w:type="spellStart"/>
      <w:r w:rsidR="00C3009A" w:rsidRPr="00C3009A">
        <w:rPr>
          <w:rFonts w:ascii="Arial" w:eastAsia="Arial" w:hAnsi="Arial" w:cs="Arial"/>
          <w:i/>
          <w:color w:val="000000"/>
          <w:sz w:val="20"/>
          <w:szCs w:val="20"/>
          <w:lang w:val="en-ID"/>
        </w:rPr>
        <w:t>ta’awun</w:t>
      </w:r>
      <w:proofErr w:type="spellEnd"/>
      <w:r w:rsidRPr="00FE6D06">
        <w:rPr>
          <w:rFonts w:ascii="Arial" w:eastAsia="Arial" w:hAnsi="Arial" w:cs="Arial"/>
          <w:color w:val="000000"/>
          <w:sz w:val="20"/>
          <w:szCs w:val="20"/>
          <w:lang w:val="en-ID"/>
        </w:rPr>
        <w:t xml:space="preserve"> encourages communities to engage in mutual support and collective action to assist </w:t>
      </w:r>
      <w:r>
        <w:rPr>
          <w:rFonts w:ascii="Arial" w:eastAsia="Arial" w:hAnsi="Arial" w:cs="Arial"/>
          <w:color w:val="000000"/>
          <w:sz w:val="20"/>
          <w:szCs w:val="20"/>
          <w:lang w:val="en-ID"/>
        </w:rPr>
        <w:t xml:space="preserve">those in need of proper housing </w:t>
      </w:r>
      <w:r w:rsidR="005A3C34">
        <w:rPr>
          <w:rFonts w:ascii="Arial" w:eastAsia="Arial" w:hAnsi="Arial" w:cs="Arial"/>
          <w:color w:val="000000"/>
          <w:sz w:val="20"/>
          <w:szCs w:val="20"/>
          <w:lang w:val="en-ID"/>
        </w:rPr>
        <w:fldChar w:fldCharType="begin"/>
      </w:r>
      <w:r w:rsidR="005A3C34">
        <w:rPr>
          <w:rFonts w:ascii="Arial" w:eastAsia="Arial" w:hAnsi="Arial" w:cs="Arial"/>
          <w:color w:val="000000"/>
          <w:sz w:val="20"/>
          <w:szCs w:val="20"/>
          <w:lang w:val="en-ID"/>
        </w:rPr>
        <w:instrText>ADDIN CSL_CITATION {"citationItems":[{"id":"ITEM-1","itemData":{"author":[{"dropping-particle":"","family":"Yahya","given":"Fifi Alida","non-dropping-particle":"","parse-names":false,"suffix":""}],"id":"ITEM-1","issued":{"date-parts":[["2022"]]},"publisher":"Universitas Islam Negeri Kiai Haji Achmad Siddiq","title":"Implementasi Prinsip Ta'awun pada Kegiatan Arisan Gotong Royong oleh Grup Persatuan di Desa Wirowongso Kecamatan Ajung Kabupaten Jember","type":"thesis"},"uris":["http://www.mendeley.com/documents/?uuid=507fa114-eaab-4c59-b984-fb7041e94cbd"]}],"mendeley":{"formattedCitation":"(Yahya, 2022)","plainTextFormattedCitation":"(Yahya, 2022)","previouslyFormattedCitation":"(Yahya, 2022)"},"properties":{"noteIndex":0},"schema":"https://github.com/citation-style-language/schema/raw/master/csl-citation.json"}</w:instrText>
      </w:r>
      <w:r w:rsidR="005A3C34">
        <w:rPr>
          <w:rFonts w:ascii="Arial" w:eastAsia="Arial" w:hAnsi="Arial" w:cs="Arial"/>
          <w:color w:val="000000"/>
          <w:sz w:val="20"/>
          <w:szCs w:val="20"/>
          <w:lang w:val="en-ID"/>
        </w:rPr>
        <w:fldChar w:fldCharType="separate"/>
      </w:r>
      <w:r w:rsidR="005A3C34">
        <w:rPr>
          <w:rFonts w:ascii="Arial" w:eastAsia="Arial" w:hAnsi="Arial" w:cs="Arial"/>
          <w:noProof/>
          <w:color w:val="000000"/>
          <w:sz w:val="20"/>
          <w:szCs w:val="20"/>
          <w:lang w:val="en-ID"/>
        </w:rPr>
        <w:t>(Yahya, 2022)</w:t>
      </w:r>
      <w:r w:rsidR="005A3C34">
        <w:rPr>
          <w:rFonts w:ascii="Arial" w:eastAsia="Arial" w:hAnsi="Arial" w:cs="Arial"/>
          <w:color w:val="000000"/>
          <w:sz w:val="20"/>
          <w:szCs w:val="20"/>
        </w:rPr>
        <w:fldChar w:fldCharType="end"/>
      </w:r>
      <w:r w:rsidR="005A3C34">
        <w:rPr>
          <w:rFonts w:ascii="Arial" w:eastAsia="Arial" w:hAnsi="Arial" w:cs="Arial"/>
          <w:color w:val="000000"/>
          <w:sz w:val="20"/>
          <w:szCs w:val="20"/>
          <w:lang w:val="en-ID"/>
        </w:rPr>
        <w:t xml:space="preserve">. </w:t>
      </w:r>
      <w:r w:rsidRPr="00FE6D06">
        <w:rPr>
          <w:rFonts w:ascii="Arial" w:eastAsia="Arial" w:hAnsi="Arial" w:cs="Arial"/>
          <w:color w:val="000000"/>
          <w:sz w:val="20"/>
          <w:szCs w:val="20"/>
          <w:lang w:val="en-ID"/>
        </w:rPr>
        <w:t xml:space="preserve">Meanwhile, </w:t>
      </w:r>
      <w:r w:rsidR="00C3009A" w:rsidRPr="00C3009A">
        <w:rPr>
          <w:rFonts w:ascii="Arial" w:eastAsia="Arial" w:hAnsi="Arial" w:cs="Arial"/>
          <w:i/>
          <w:color w:val="000000"/>
          <w:sz w:val="20"/>
          <w:szCs w:val="20"/>
          <w:lang w:val="en-ID"/>
        </w:rPr>
        <w:t>ukhuwah</w:t>
      </w:r>
      <w:r w:rsidRPr="00FE6D06">
        <w:rPr>
          <w:rFonts w:ascii="Arial" w:eastAsia="Arial" w:hAnsi="Arial" w:cs="Arial"/>
          <w:color w:val="000000"/>
          <w:sz w:val="20"/>
          <w:szCs w:val="20"/>
          <w:lang w:val="en-ID"/>
        </w:rPr>
        <w:t xml:space="preserve"> strengthens social solidarity among residents</w:t>
      </w:r>
      <w:r>
        <w:rPr>
          <w:rFonts w:ascii="Arial" w:eastAsia="Arial" w:hAnsi="Arial" w:cs="Arial"/>
          <w:color w:val="000000"/>
          <w:sz w:val="20"/>
          <w:szCs w:val="20"/>
          <w:lang w:val="en-ID"/>
        </w:rPr>
        <w:t xml:space="preserve"> </w:t>
      </w:r>
      <w:r w:rsidR="005A3C34">
        <w:rPr>
          <w:rFonts w:ascii="Arial" w:eastAsia="Arial" w:hAnsi="Arial" w:cs="Arial"/>
          <w:color w:val="000000"/>
          <w:sz w:val="20"/>
          <w:szCs w:val="20"/>
          <w:lang w:val="en-ID"/>
        </w:rPr>
        <w:fldChar w:fldCharType="begin"/>
      </w:r>
      <w:r w:rsidR="005A3C34">
        <w:rPr>
          <w:rFonts w:ascii="Arial" w:eastAsia="Arial" w:hAnsi="Arial" w:cs="Arial"/>
          <w:color w:val="000000"/>
          <w:sz w:val="20"/>
          <w:szCs w:val="20"/>
          <w:lang w:val="en-ID"/>
        </w:rPr>
        <w:instrText>ADDIN CSL_CITATION {"citationItems":[{"id":"ITEM-1","itemData":{"DOI":"10.54082/jupin.97","ISSN":"2808-148X","abstract":"Ukhuwah Islamiyah dapat diartikan sebagai persaudaraan dalam islam. Ukhuwah Islamiyah memiliki 4 prinsip diantaranya Ta’aruf (saling mengenal), Tafahum (Saling memahami), Ta’awun ( saling menolong), dan Takaful (saling memberikan rasa aman). Ukhuwah Islamiyah ditujukan untuk membantu memenuhi kebutuhan mendasar dalam kehidupan, salah satu kebutuhan mendasar dalam kehidupan bermasyarakat adalah pengurusan jenazah, dalam kasus ini pengurusan jenazah secara muslim memerlukan keahlian khusus dan dana yang dianpgap tidak sedikit pula. Untuk itu perlu adanya prinsip saling membantu dan tolong menolong agar masyarakat dapat menyelesaikan pemenuhan pengurusan jenazah ini dengan mudah. Mustahil bila masyarakat mengurus jenazah nya sendiri ketika ia telah meningggal dunia. Penelitian ini menggunakan metode kualitatif dengan melihat langsung fenomena yang terjadi dilapangan dan bertujuan untuk menemukan fakta tentang ketarkaitan ukhuwah islamiyah dengan serikat tolong menolong Al-Amin. Secara sederhana hasil yang ditemukan ialah benar adanya kegiatan yang ada dalam proses pengurusan jenazah yang dilakukan oleh Serikat tolong menolong Al-Amin menerapkan prinsip ukhuwah islamiyah dan menjadi solusi pemenuhan kebutuhan pengurusan jenazah secara islam.","author":[{"dropping-particle":"","family":"Khalid","given":"Muhammad","non-dropping-particle":"","parse-names":false,"suffix":""},{"dropping-particle":"","family":"Ritonga","given":"Fajar Utama","non-dropping-particle":"","parse-names":false,"suffix":""}],"container-title":"Jurnal Penelitian Inovatif","id":"ITEM-1","issue":"3","issued":{"date-parts":[["2022"]]},"page":"433-440","title":"Penerapan Prinsip Ukhuwah Islamiyah: Serikat Tolong Menolong Al-Amin Dusun X Desa Bandar Setia","type":"article-journal","volume":"2"},"uris":["http://www.mendeley.com/documents/?uuid=cfa3d542-5956-44ee-8f90-f87d2a668e35"]}],"mendeley":{"formattedCitation":"(Khalid &amp; Ritonga, 2022)","plainTextFormattedCitation":"(Khalid &amp; Ritonga, 2022)","previouslyFormattedCitation":"(Khalid &amp; Ritonga, 2022)"},"properties":{"noteIndex":0},"schema":"https://github.com/citation-style-language/schema/raw/master/csl-citation.json"}</w:instrText>
      </w:r>
      <w:r w:rsidR="005A3C34">
        <w:rPr>
          <w:rFonts w:ascii="Arial" w:eastAsia="Arial" w:hAnsi="Arial" w:cs="Arial"/>
          <w:color w:val="000000"/>
          <w:sz w:val="20"/>
          <w:szCs w:val="20"/>
          <w:lang w:val="en-ID"/>
        </w:rPr>
        <w:fldChar w:fldCharType="separate"/>
      </w:r>
      <w:r w:rsidR="005A3C34">
        <w:rPr>
          <w:rFonts w:ascii="Arial" w:eastAsia="Arial" w:hAnsi="Arial" w:cs="Arial"/>
          <w:noProof/>
          <w:color w:val="000000"/>
          <w:sz w:val="20"/>
          <w:szCs w:val="20"/>
          <w:lang w:val="en-ID"/>
        </w:rPr>
        <w:t>(Khalid &amp; Ritonga, 2022)</w:t>
      </w:r>
      <w:r w:rsidR="005A3C34">
        <w:rPr>
          <w:rFonts w:ascii="Arial" w:eastAsia="Arial" w:hAnsi="Arial" w:cs="Arial"/>
          <w:color w:val="000000"/>
          <w:sz w:val="20"/>
          <w:szCs w:val="20"/>
        </w:rPr>
        <w:fldChar w:fldCharType="end"/>
      </w:r>
      <w:r w:rsidR="005A3C34">
        <w:rPr>
          <w:rFonts w:ascii="Arial" w:eastAsia="Arial" w:hAnsi="Arial" w:cs="Arial"/>
          <w:color w:val="000000"/>
          <w:sz w:val="20"/>
          <w:szCs w:val="20"/>
          <w:lang w:val="en-ID"/>
        </w:rPr>
        <w:t xml:space="preserve">. </w:t>
      </w:r>
      <w:r w:rsidRPr="00FE6D06">
        <w:rPr>
          <w:rFonts w:ascii="Arial" w:eastAsia="Arial" w:hAnsi="Arial" w:cs="Arial"/>
          <w:color w:val="000000"/>
          <w:sz w:val="20"/>
          <w:szCs w:val="20"/>
          <w:lang w:val="en-ID"/>
        </w:rPr>
        <w:t xml:space="preserve">The principle of </w:t>
      </w:r>
      <w:proofErr w:type="spellStart"/>
      <w:r w:rsidR="009D4016" w:rsidRPr="009D4016">
        <w:rPr>
          <w:rFonts w:ascii="Arial" w:eastAsia="Arial" w:hAnsi="Arial" w:cs="Arial"/>
          <w:i/>
          <w:color w:val="000000"/>
          <w:sz w:val="20"/>
          <w:szCs w:val="20"/>
          <w:lang w:val="en-ID"/>
        </w:rPr>
        <w:t>maslahah</w:t>
      </w:r>
      <w:proofErr w:type="spellEnd"/>
      <w:r w:rsidRPr="00FE6D06">
        <w:rPr>
          <w:rFonts w:ascii="Arial" w:eastAsia="Arial" w:hAnsi="Arial" w:cs="Arial"/>
          <w:color w:val="000000"/>
          <w:sz w:val="20"/>
          <w:szCs w:val="20"/>
          <w:lang w:val="en-ID"/>
        </w:rPr>
        <w:t xml:space="preserve"> compels both governments and communities to prioritize the long-term benefits of development programs rather than offering temporary solutions. When these three values are systematically integrated into housing development policies, they can foster a development model grounded in spirituality and social cohesion, addressing not only physical needs but also the moral, cultural, and emotional dimensions of society.</w:t>
      </w:r>
      <w:r>
        <w:rPr>
          <w:rFonts w:ascii="Arial" w:eastAsia="Arial" w:hAnsi="Arial" w:cs="Arial"/>
          <w:color w:val="000000"/>
          <w:sz w:val="20"/>
          <w:szCs w:val="20"/>
          <w:lang w:val="en-ID"/>
        </w:rPr>
        <w:t xml:space="preserve"> </w:t>
      </w:r>
    </w:p>
    <w:p w:rsidR="008D31B6" w:rsidRDefault="008D31B6"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rPr>
      </w:pPr>
      <w:r w:rsidRPr="008D31B6">
        <w:rPr>
          <w:rFonts w:ascii="Arial" w:eastAsia="Arial" w:hAnsi="Arial" w:cs="Arial"/>
          <w:color w:val="000000"/>
          <w:sz w:val="20"/>
          <w:szCs w:val="20"/>
          <w:lang w:val="en-ID"/>
        </w:rPr>
        <w:t>Furthermore, the empowerment paradigm within Islam emphasizes the role of individuals as active agents (subjects) of development, rather than passive recipients of aid. Empowerment cannot be limited to the provision of material assistance such as financial support, goods, or infrastructure. Genuine empowerment entails a long-term process that includes knowledge transfer, the enhancement of intellectual capacity and practical skills, as well as the cultivation of strong moral character.</w:t>
      </w:r>
      <w:r>
        <w:rPr>
          <w:rFonts w:ascii="Arial" w:eastAsia="Arial" w:hAnsi="Arial" w:cs="Arial"/>
          <w:color w:val="000000"/>
          <w:sz w:val="20"/>
          <w:szCs w:val="20"/>
          <w:lang w:val="en-ID"/>
        </w:rPr>
        <w:t xml:space="preserve"> </w:t>
      </w:r>
      <w:r w:rsidR="005A3C34">
        <w:rPr>
          <w:rFonts w:ascii="Arial" w:eastAsia="Arial" w:hAnsi="Arial" w:cs="Arial"/>
          <w:color w:val="000000"/>
          <w:sz w:val="20"/>
          <w:szCs w:val="20"/>
          <w:lang w:val="de-LU"/>
        </w:rPr>
        <w:fldChar w:fldCharType="begin"/>
      </w:r>
      <w:r w:rsidR="005A3C34">
        <w:rPr>
          <w:rFonts w:ascii="Arial" w:eastAsia="Arial" w:hAnsi="Arial" w:cs="Arial"/>
          <w:color w:val="000000"/>
          <w:sz w:val="20"/>
          <w:szCs w:val="20"/>
        </w:rPr>
        <w:instrText>ADDIN CSL_CITATION {"citationItems":[{"id":"ITEM-1","itemData":{"author":[{"dropping-particle":"","family":"Mu'ti","given":"Abdul","non-dropping-particle":"","parse-names":false,"suffix":""}],"id":"ITEM-1","issued":{"date-parts":[["2009"]]},"publisher":"Al-Wasat Publishing House","publisher-place":"Jakarta","title":"Inkulturasi Islam: Menyemai Persaudaraan, Keadilan, dan Emansipasi Kemanusiaan","type":"book"},"uris":["http://www.mendeley.com/documents/?uuid=e6ed5342-d178-4219-b9f4-35469eb68248"]}],"mendeley":{"formattedCitation":"(Mu’ti, 2009)","manualFormatting":"Mu’ti (2009)","plainTextFormattedCitation":"(Mu’ti, 2009)","previouslyFormattedCitation":"(Mu’ti, 2009)"},"properties":{"noteIndex":0},"schema":"https://github.com/citation-style-language/schema/raw/master/csl-citation.json"}</w:instrText>
      </w:r>
      <w:r w:rsidR="005A3C34">
        <w:rPr>
          <w:rFonts w:ascii="Arial" w:eastAsia="Arial" w:hAnsi="Arial" w:cs="Arial"/>
          <w:color w:val="000000"/>
          <w:sz w:val="20"/>
          <w:szCs w:val="20"/>
          <w:lang w:val="de-LU"/>
        </w:rPr>
        <w:fldChar w:fldCharType="separate"/>
      </w:r>
      <w:r w:rsidR="005A3C34">
        <w:rPr>
          <w:rFonts w:ascii="Arial" w:eastAsia="Arial" w:hAnsi="Arial" w:cs="Arial"/>
          <w:noProof/>
          <w:color w:val="000000"/>
          <w:sz w:val="20"/>
          <w:szCs w:val="20"/>
        </w:rPr>
        <w:t>Mu’ti (2009)</w:t>
      </w:r>
      <w:r w:rsidR="005A3C34">
        <w:rPr>
          <w:rFonts w:ascii="Arial" w:eastAsia="Arial" w:hAnsi="Arial" w:cs="Arial"/>
          <w:color w:val="000000"/>
          <w:sz w:val="20"/>
          <w:szCs w:val="20"/>
        </w:rPr>
        <w:fldChar w:fldCharType="end"/>
      </w:r>
      <w:r w:rsidR="005A3C34">
        <w:rPr>
          <w:rFonts w:ascii="Arial" w:eastAsia="Arial" w:hAnsi="Arial" w:cs="Arial"/>
          <w:color w:val="000000"/>
          <w:sz w:val="20"/>
          <w:szCs w:val="20"/>
        </w:rPr>
        <w:t xml:space="preserve">, </w:t>
      </w:r>
      <w:r w:rsidRPr="008D31B6">
        <w:rPr>
          <w:rFonts w:ascii="Arial" w:eastAsia="Arial" w:hAnsi="Arial" w:cs="Arial"/>
          <w:color w:val="000000"/>
          <w:sz w:val="20"/>
          <w:szCs w:val="20"/>
        </w:rPr>
        <w:t>a prominent figure in Islamic community development, emphasizes that the success of social programs within an Islamic framework depends largely on the extent to which communities are involved in critical thinking, planning, and active participation at every stage of the process. According to</w:t>
      </w:r>
      <w:r>
        <w:rPr>
          <w:rFonts w:ascii="Arial" w:eastAsia="Arial" w:hAnsi="Arial" w:cs="Arial"/>
          <w:color w:val="000000"/>
          <w:sz w:val="20"/>
          <w:szCs w:val="20"/>
        </w:rPr>
        <w:t xml:space="preserve"> </w:t>
      </w:r>
      <w:r w:rsidR="005A3C34">
        <w:rPr>
          <w:rFonts w:ascii="Arial" w:eastAsia="Arial" w:hAnsi="Arial" w:cs="Arial"/>
          <w:color w:val="000000"/>
          <w:sz w:val="20"/>
          <w:szCs w:val="20"/>
          <w:lang w:val="de-LU"/>
        </w:rPr>
        <w:fldChar w:fldCharType="begin"/>
      </w:r>
      <w:r w:rsidR="005A3C34">
        <w:rPr>
          <w:rFonts w:ascii="Arial" w:eastAsia="Arial" w:hAnsi="Arial" w:cs="Arial"/>
          <w:color w:val="000000"/>
          <w:sz w:val="20"/>
          <w:szCs w:val="20"/>
        </w:rPr>
        <w:instrText>ADDIN CSL_CITATION {"citationItems":[{"id":"ITEM-1","itemData":{"author":[{"dropping-particle":"","family":"Mu'ti","given":"Abdul","non-dropping-particle":"","parse-names":false,"suffix":""}],"id":"ITEM-1","issued":{"date-parts":[["2009"]]},"publisher":"Al-Wasat Publishing House","publisher-place":"Jakarta","title":"Inkulturasi Islam: Menyemai Persaudaraan, Keadilan, dan Emansipasi Kemanusiaan","type":"book"},"uris":["http://www.mendeley.com/documents/?uuid=e6ed5342-d178-4219-b9f4-35469eb68248"]}],"mendeley":{"formattedCitation":"(Mu’ti, 2009)","manualFormatting":"Mu’ti (2009)","plainTextFormattedCitation":"(Mu’ti, 2009)","previouslyFormattedCitation":"(Mu’ti, 2009)"},"properties":{"noteIndex":0},"schema":"https://github.com/citation-style-language/schema/raw/master/csl-citation.json"}</w:instrText>
      </w:r>
      <w:r w:rsidR="005A3C34">
        <w:rPr>
          <w:rFonts w:ascii="Arial" w:eastAsia="Arial" w:hAnsi="Arial" w:cs="Arial"/>
          <w:color w:val="000000"/>
          <w:sz w:val="20"/>
          <w:szCs w:val="20"/>
          <w:lang w:val="de-LU"/>
        </w:rPr>
        <w:fldChar w:fldCharType="separate"/>
      </w:r>
      <w:r w:rsidR="005A3C34">
        <w:rPr>
          <w:rFonts w:ascii="Arial" w:eastAsia="Arial" w:hAnsi="Arial" w:cs="Arial"/>
          <w:noProof/>
          <w:color w:val="000000"/>
          <w:sz w:val="20"/>
          <w:szCs w:val="20"/>
        </w:rPr>
        <w:t>Mu’ti (2009)</w:t>
      </w:r>
      <w:r w:rsidR="005A3C34">
        <w:rPr>
          <w:rFonts w:ascii="Arial" w:eastAsia="Arial" w:hAnsi="Arial" w:cs="Arial"/>
          <w:color w:val="000000"/>
          <w:sz w:val="20"/>
          <w:szCs w:val="20"/>
        </w:rPr>
        <w:fldChar w:fldCharType="end"/>
      </w:r>
      <w:r w:rsidR="005A3C34">
        <w:rPr>
          <w:rFonts w:ascii="Arial" w:eastAsia="Arial" w:hAnsi="Arial" w:cs="Arial"/>
          <w:color w:val="000000"/>
          <w:sz w:val="20"/>
          <w:szCs w:val="20"/>
        </w:rPr>
        <w:t xml:space="preserve">, </w:t>
      </w:r>
      <w:r w:rsidRPr="008D31B6">
        <w:rPr>
          <w:rFonts w:ascii="Arial" w:eastAsia="Arial" w:hAnsi="Arial" w:cs="Arial"/>
          <w:color w:val="000000"/>
          <w:sz w:val="20"/>
          <w:szCs w:val="20"/>
        </w:rPr>
        <w:t>participation should not be reduced to symbolic involvement but must serve as a central pillar across all phases of development</w:t>
      </w:r>
      <w:r w:rsidR="00C3009A">
        <w:rPr>
          <w:rFonts w:ascii="Arial" w:eastAsia="Arial" w:hAnsi="Arial" w:cs="Arial"/>
          <w:color w:val="000000"/>
          <w:sz w:val="20"/>
          <w:szCs w:val="20"/>
        </w:rPr>
        <w:t xml:space="preserve">. </w:t>
      </w:r>
      <w:r w:rsidRPr="008D31B6">
        <w:rPr>
          <w:rFonts w:ascii="Arial" w:eastAsia="Arial" w:hAnsi="Arial" w:cs="Arial"/>
          <w:color w:val="000000"/>
          <w:sz w:val="20"/>
          <w:szCs w:val="20"/>
        </w:rPr>
        <w:t xml:space="preserve">from problem identification and solution formulation to program implementation and outcome evaluation. This approach aligns with the principle of </w:t>
      </w:r>
      <w:r w:rsidR="009D4016" w:rsidRPr="009D4016">
        <w:rPr>
          <w:rFonts w:ascii="Arial" w:eastAsia="Arial" w:hAnsi="Arial" w:cs="Arial"/>
          <w:i/>
          <w:color w:val="000000"/>
          <w:sz w:val="20"/>
          <w:szCs w:val="20"/>
        </w:rPr>
        <w:t>musyawarah</w:t>
      </w:r>
      <w:r w:rsidRPr="008D31B6">
        <w:rPr>
          <w:rFonts w:ascii="Arial" w:eastAsia="Arial" w:hAnsi="Arial" w:cs="Arial"/>
          <w:color w:val="000000"/>
          <w:sz w:val="20"/>
          <w:szCs w:val="20"/>
        </w:rPr>
        <w:t xml:space="preserve"> (consultation) as outlined in the Qur'an (QS. </w:t>
      </w:r>
      <w:proofErr w:type="spellStart"/>
      <w:r w:rsidRPr="008D31B6">
        <w:rPr>
          <w:rFonts w:ascii="Arial" w:eastAsia="Arial" w:hAnsi="Arial" w:cs="Arial"/>
          <w:color w:val="000000"/>
          <w:sz w:val="20"/>
          <w:szCs w:val="20"/>
        </w:rPr>
        <w:t>Asy-Syura</w:t>
      </w:r>
      <w:proofErr w:type="spellEnd"/>
      <w:r w:rsidRPr="008D31B6">
        <w:rPr>
          <w:rFonts w:ascii="Arial" w:eastAsia="Arial" w:hAnsi="Arial" w:cs="Arial"/>
          <w:color w:val="000000"/>
          <w:sz w:val="20"/>
          <w:szCs w:val="20"/>
        </w:rPr>
        <w:t>: 38), which advocates for collective decision-making in pursuit of shared benefit.</w:t>
      </w:r>
    </w:p>
    <w:p w:rsidR="008D31B6" w:rsidRDefault="008D31B6"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rPr>
      </w:pPr>
      <w:r w:rsidRPr="008D31B6">
        <w:rPr>
          <w:rFonts w:ascii="Arial" w:eastAsia="Arial" w:hAnsi="Arial" w:cs="Arial"/>
          <w:color w:val="000000"/>
          <w:sz w:val="20"/>
          <w:szCs w:val="20"/>
        </w:rPr>
        <w:t xml:space="preserve">Given the complexity of inadequate housing (RTLH) issues in Pacitan Regency, along with the importance of value-based and empowerment-oriented approaches, it is highly relevant to examine how the existing proper housing programs have been implemented, and how the Islamic Community Development (PMI) approach can serve as a more holistic and participatory alternative. It is expected that the findings of this study will provide a conceptual contribution by </w:t>
      </w:r>
      <w:r w:rsidRPr="008D31B6">
        <w:rPr>
          <w:rFonts w:ascii="Arial" w:eastAsia="Arial" w:hAnsi="Arial" w:cs="Arial"/>
          <w:color w:val="000000"/>
          <w:sz w:val="20"/>
          <w:szCs w:val="20"/>
        </w:rPr>
        <w:lastRenderedPageBreak/>
        <w:t>enriching the literature on development grounded in Islamic values, while also offering practical insights for formulating more effective, sustainable, and socially just strategies to address inadequate housing. At the policy level, the results of this study may also serve as a reference for local policymakers to design public policies that align with the spiritual and social values of the local community and promote inclusive, empowering, and di</w:t>
      </w:r>
      <w:r>
        <w:rPr>
          <w:rFonts w:ascii="Arial" w:eastAsia="Arial" w:hAnsi="Arial" w:cs="Arial"/>
          <w:color w:val="000000"/>
          <w:sz w:val="20"/>
          <w:szCs w:val="20"/>
        </w:rPr>
        <w:t xml:space="preserve">gnified development governance. </w:t>
      </w:r>
    </w:p>
    <w:p w:rsidR="008D31B6" w:rsidRDefault="008D31B6"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rPr>
      </w:pPr>
      <w:r w:rsidRPr="008D31B6">
        <w:rPr>
          <w:rFonts w:ascii="Arial" w:eastAsia="Arial" w:hAnsi="Arial" w:cs="Arial"/>
          <w:color w:val="000000"/>
          <w:sz w:val="20"/>
          <w:szCs w:val="20"/>
        </w:rPr>
        <w:t xml:space="preserve">The formulation of this research problem arises from the need to gain an in-depth understanding of how the home renovation assistance programs have been implemented in Pacitan Regency, particularly in </w:t>
      </w:r>
      <w:proofErr w:type="spellStart"/>
      <w:r w:rsidRPr="008D31B6">
        <w:rPr>
          <w:rFonts w:ascii="Arial" w:eastAsia="Arial" w:hAnsi="Arial" w:cs="Arial"/>
          <w:color w:val="000000"/>
          <w:sz w:val="20"/>
          <w:szCs w:val="20"/>
        </w:rPr>
        <w:t>Donorojo</w:t>
      </w:r>
      <w:proofErr w:type="spellEnd"/>
      <w:r w:rsidRPr="008D31B6">
        <w:rPr>
          <w:rFonts w:ascii="Arial" w:eastAsia="Arial" w:hAnsi="Arial" w:cs="Arial"/>
          <w:color w:val="000000"/>
          <w:sz w:val="20"/>
          <w:szCs w:val="20"/>
        </w:rPr>
        <w:t xml:space="preserve"> District, and to what extent these programs have succeeded in improving the physical housing conditions of impoverished communities. This study also seeks to explore the extent of community involvement in the program’s implementation and how such participation influences residents' sense of ownership and the sustainability of the program's outcomes. Furthermore, the research examines how Islamic values such as </w:t>
      </w:r>
      <w:proofErr w:type="spellStart"/>
      <w:r w:rsidR="00C3009A" w:rsidRPr="00C3009A">
        <w:rPr>
          <w:rFonts w:ascii="Arial" w:eastAsia="Arial" w:hAnsi="Arial" w:cs="Arial"/>
          <w:i/>
          <w:color w:val="000000"/>
          <w:sz w:val="20"/>
          <w:szCs w:val="20"/>
        </w:rPr>
        <w:t>ta’awun</w:t>
      </w:r>
      <w:proofErr w:type="spellEnd"/>
      <w:r w:rsidRPr="008D31B6">
        <w:rPr>
          <w:rFonts w:ascii="Arial" w:eastAsia="Arial" w:hAnsi="Arial" w:cs="Arial"/>
          <w:color w:val="000000"/>
          <w:sz w:val="20"/>
          <w:szCs w:val="20"/>
        </w:rPr>
        <w:t xml:space="preserve"> (mutual assistance), </w:t>
      </w:r>
      <w:proofErr w:type="spellStart"/>
      <w:r w:rsidR="00C3009A" w:rsidRPr="00C3009A">
        <w:rPr>
          <w:rFonts w:ascii="Arial" w:eastAsia="Arial" w:hAnsi="Arial" w:cs="Arial"/>
          <w:i/>
          <w:color w:val="000000"/>
          <w:sz w:val="20"/>
          <w:szCs w:val="20"/>
        </w:rPr>
        <w:t>ukhuwah</w:t>
      </w:r>
      <w:proofErr w:type="spellEnd"/>
      <w:r w:rsidRPr="008D31B6">
        <w:rPr>
          <w:rFonts w:ascii="Arial" w:eastAsia="Arial" w:hAnsi="Arial" w:cs="Arial"/>
          <w:color w:val="000000"/>
          <w:sz w:val="20"/>
          <w:szCs w:val="20"/>
        </w:rPr>
        <w:t xml:space="preserve"> (brotherhood), and </w:t>
      </w:r>
      <w:proofErr w:type="spellStart"/>
      <w:r w:rsidR="009D4016" w:rsidRPr="009D4016">
        <w:rPr>
          <w:rFonts w:ascii="Arial" w:eastAsia="Arial" w:hAnsi="Arial" w:cs="Arial"/>
          <w:i/>
          <w:color w:val="000000"/>
          <w:sz w:val="20"/>
          <w:szCs w:val="20"/>
        </w:rPr>
        <w:t>maslahah</w:t>
      </w:r>
      <w:proofErr w:type="spellEnd"/>
      <w:r w:rsidRPr="008D31B6">
        <w:rPr>
          <w:rFonts w:ascii="Arial" w:eastAsia="Arial" w:hAnsi="Arial" w:cs="Arial"/>
          <w:color w:val="000000"/>
          <w:sz w:val="20"/>
          <w:szCs w:val="20"/>
        </w:rPr>
        <w:t xml:space="preserve"> (public benefit) are internalized within the practice of the home renovation programs, whether consciously or as an integral part of the local community's culture. Ultimately, this study aims to assess how the Islamic Community Development approach can be applied as a more effective and sustainable strategy in the implementation of such programs, ensuring that they go beyond charity-based interventions to comprehensively empower communities socially, economically, and spiritually.</w:t>
      </w:r>
    </w:p>
    <w:p w:rsidR="00E52122" w:rsidRDefault="00E52122"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rPr>
      </w:pPr>
    </w:p>
    <w:p w:rsidR="00E52122" w:rsidRDefault="00191B21" w:rsidP="004F3CA5">
      <w:pPr>
        <w:numPr>
          <w:ilvl w:val="0"/>
          <w:numId w:val="2"/>
        </w:numPr>
        <w:pBdr>
          <w:top w:val="nil"/>
          <w:left w:val="nil"/>
          <w:bottom w:val="nil"/>
          <w:right w:val="nil"/>
          <w:between w:val="nil"/>
        </w:pBdr>
        <w:spacing w:before="240" w:after="120" w:line="480" w:lineRule="auto"/>
        <w:ind w:left="0"/>
        <w:rPr>
          <w:rFonts w:ascii="Arial" w:eastAsia="Arial" w:hAnsi="Arial" w:cs="Arial"/>
          <w:b/>
          <w:color w:val="000000"/>
          <w:sz w:val="20"/>
          <w:szCs w:val="20"/>
        </w:rPr>
      </w:pPr>
      <w:r>
        <w:rPr>
          <w:rFonts w:ascii="Arial" w:eastAsia="Arial" w:hAnsi="Arial" w:cs="Arial"/>
          <w:b/>
          <w:color w:val="000000"/>
          <w:sz w:val="20"/>
          <w:szCs w:val="20"/>
        </w:rPr>
        <w:t>Results</w:t>
      </w:r>
    </w:p>
    <w:p w:rsidR="008D31B6" w:rsidRDefault="008D31B6"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rPr>
      </w:pPr>
      <w:r w:rsidRPr="008D31B6">
        <w:rPr>
          <w:rFonts w:ascii="Arial" w:eastAsia="Arial" w:hAnsi="Arial" w:cs="Arial"/>
          <w:color w:val="000000"/>
          <w:sz w:val="20"/>
          <w:szCs w:val="20"/>
        </w:rPr>
        <w:t xml:space="preserve">This study employs a qualitative approach with a case study design, aimed at gaining an in-depth understanding of the implementation of the home renovation assistance program as part of efforts to empower impoverished communities in Pacitan Regency. This approach was chosen for its ability to comprehensively capture complex social phenomena within the local context, particularly regarding community involvement and the integration of Islamic values in program execution. Data collection was conducted through three primary techniques: in-depth interviews with beneficiaries and program implementers, direct observation of the assistance implementation process, and documentation of various written sources and photographic records of activities. To </w:t>
      </w:r>
      <w:r w:rsidRPr="008D31B6">
        <w:rPr>
          <w:rFonts w:ascii="Arial" w:eastAsia="Arial" w:hAnsi="Arial" w:cs="Arial"/>
          <w:color w:val="000000"/>
          <w:sz w:val="20"/>
          <w:szCs w:val="20"/>
        </w:rPr>
        <w:lastRenderedPageBreak/>
        <w:t>ensure data validity, triangulation techniques were applied by comparing and cross-verifying information obtained from multiple sources and methods. The research findings presented serve as responses to the research questions previously formulated. Consequently, the results are based on valid and relevant data and are organized logically in accordance with the research objectives. To facilitate comprehension and analysis, the findings are presented under several systematic and thematic subheadings, such as beneficiary profiles, program implementation, and the program's impact on the community's physical, social, and spiritual aspects. Each subheading provides a detailed account of the findings, supported by direct quotations from informants or field data, ensuring that interpretations remain objective, precise, and grounded in the actual field conditions. Thus, this structure is expected to provide a comprehensive overview of the dynamics of the home renovation program's implementation and its contribution to empowering impoverished communities. The following section presents the results of the analysis:</w:t>
      </w:r>
    </w:p>
    <w:p w:rsidR="00E52122" w:rsidRDefault="00E52122"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rPr>
      </w:pPr>
    </w:p>
    <w:p w:rsidR="00E52122" w:rsidRDefault="008D31B6" w:rsidP="004F3CA5">
      <w:pPr>
        <w:pStyle w:val="ListParagraph"/>
        <w:numPr>
          <w:ilvl w:val="0"/>
          <w:numId w:val="5"/>
        </w:numPr>
        <w:pBdr>
          <w:top w:val="nil"/>
          <w:left w:val="nil"/>
          <w:bottom w:val="nil"/>
          <w:right w:val="nil"/>
          <w:between w:val="nil"/>
        </w:pBdr>
        <w:spacing w:line="480" w:lineRule="auto"/>
        <w:ind w:left="0"/>
        <w:jc w:val="both"/>
        <w:rPr>
          <w:rFonts w:ascii="Arial" w:eastAsia="Arial" w:hAnsi="Arial" w:cs="Arial"/>
          <w:i/>
          <w:iCs/>
          <w:color w:val="000000"/>
          <w:sz w:val="20"/>
          <w:szCs w:val="20"/>
          <w:lang w:val="en-ID"/>
        </w:rPr>
      </w:pPr>
      <w:r>
        <w:rPr>
          <w:rFonts w:ascii="Arial" w:eastAsia="Arial" w:hAnsi="Arial" w:cs="Arial"/>
          <w:i/>
          <w:iCs/>
          <w:color w:val="000000"/>
          <w:sz w:val="20"/>
          <w:szCs w:val="20"/>
          <w:lang w:val="en-ID"/>
        </w:rPr>
        <w:t>Beneficiary Profile</w:t>
      </w:r>
    </w:p>
    <w:p w:rsidR="00191B21" w:rsidRDefault="00191B21"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en-ID"/>
        </w:rPr>
      </w:pPr>
      <w:r w:rsidRPr="00191B21">
        <w:rPr>
          <w:rFonts w:ascii="Arial" w:eastAsia="Arial" w:hAnsi="Arial" w:cs="Arial"/>
          <w:color w:val="000000"/>
          <w:sz w:val="20"/>
          <w:szCs w:val="20"/>
          <w:lang w:val="en-ID"/>
        </w:rPr>
        <w:t xml:space="preserve">The majority of beneficiaries of the home renovation assistance program in Bandar Village and </w:t>
      </w:r>
      <w:proofErr w:type="spellStart"/>
      <w:r w:rsidRPr="00191B21">
        <w:rPr>
          <w:rFonts w:ascii="Arial" w:eastAsia="Arial" w:hAnsi="Arial" w:cs="Arial"/>
          <w:color w:val="000000"/>
          <w:sz w:val="20"/>
          <w:szCs w:val="20"/>
          <w:lang w:val="en-ID"/>
        </w:rPr>
        <w:t>Sempu</w:t>
      </w:r>
      <w:proofErr w:type="spellEnd"/>
      <w:r w:rsidRPr="00191B21">
        <w:rPr>
          <w:rFonts w:ascii="Arial" w:eastAsia="Arial" w:hAnsi="Arial" w:cs="Arial"/>
          <w:color w:val="000000"/>
          <w:sz w:val="20"/>
          <w:szCs w:val="20"/>
          <w:lang w:val="en-ID"/>
        </w:rPr>
        <w:t xml:space="preserve"> Village, </w:t>
      </w:r>
      <w:proofErr w:type="spellStart"/>
      <w:r w:rsidRPr="00191B21">
        <w:rPr>
          <w:rFonts w:ascii="Arial" w:eastAsia="Arial" w:hAnsi="Arial" w:cs="Arial"/>
          <w:color w:val="000000"/>
          <w:sz w:val="20"/>
          <w:szCs w:val="20"/>
          <w:lang w:val="en-ID"/>
        </w:rPr>
        <w:t>Donorojo</w:t>
      </w:r>
      <w:proofErr w:type="spellEnd"/>
      <w:r w:rsidRPr="00191B21">
        <w:rPr>
          <w:rFonts w:ascii="Arial" w:eastAsia="Arial" w:hAnsi="Arial" w:cs="Arial"/>
          <w:color w:val="000000"/>
          <w:sz w:val="20"/>
          <w:szCs w:val="20"/>
          <w:lang w:val="en-ID"/>
        </w:rPr>
        <w:t xml:space="preserve"> District, are underprivileged families living in economically constrained conditions. Most of them work as small-scale traders, with income levels often only sufficient to cover daily necessities, leaving no financial capacity to allocate funds for home repairs. Additionally, a significant proportion of these beneficiaries have low educational backgrounds, with many having completed only elementary school or not having received formal education at all. This educational limitation inevitably affects their ability to secure better employment opportunities. Some beneficiaries are also registered as active participants in government social assistance programs, such as the Family Hope Program (PKH) and Non-Cash Food Assistance (BPNT), serving as further indicators that they belong to the category of impoverished communities in urgent need of social intervention</w:t>
      </w:r>
      <w:r>
        <w:rPr>
          <w:rFonts w:ascii="Arial" w:eastAsia="Arial" w:hAnsi="Arial" w:cs="Arial"/>
          <w:color w:val="000000"/>
          <w:sz w:val="20"/>
          <w:szCs w:val="20"/>
          <w:lang w:val="en-ID"/>
        </w:rPr>
        <w:t>, including housing assistance.</w:t>
      </w:r>
    </w:p>
    <w:p w:rsidR="00191B21" w:rsidRDefault="00191B21"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en-ID"/>
        </w:rPr>
      </w:pPr>
      <w:r w:rsidRPr="00191B21">
        <w:rPr>
          <w:rFonts w:ascii="Arial" w:eastAsia="Arial" w:hAnsi="Arial" w:cs="Arial"/>
          <w:color w:val="000000"/>
          <w:sz w:val="20"/>
          <w:szCs w:val="20"/>
          <w:lang w:val="en-ID"/>
        </w:rPr>
        <w:t xml:space="preserve">The condition of their homes prior to receiving assistance was highly concerning. Most of their houses were constructed from makeshift materials, such as bamboo, scrap wood, or thin boards, which were inadequate for protection against extreme weather. Many homes lacked proper roofing, frequently leaking during rainfall, with dirt floors that became damp and posed </w:t>
      </w:r>
      <w:r w:rsidRPr="00191B21">
        <w:rPr>
          <w:rFonts w:ascii="Arial" w:eastAsia="Arial" w:hAnsi="Arial" w:cs="Arial"/>
          <w:color w:val="000000"/>
          <w:sz w:val="20"/>
          <w:szCs w:val="20"/>
          <w:lang w:val="en-ID"/>
        </w:rPr>
        <w:lastRenderedPageBreak/>
        <w:t xml:space="preserve">health risks, and inadequate ventilation that prevented proper air circulation, falling short of environmental health standards. In some cases, homes lacked appropriate room divisions and were not equipped with basic sanitation facilities such as bathrooms or toilets. These conditions negatively impacted not only the physical quality of the homes but also the overall quality of life of the residents. Children faced difficulties studying due to poor lighting and limited space, family members were more vulnerable to illnesses such as respiratory infections, skin diseases, and </w:t>
      </w:r>
      <w:proofErr w:type="spellStart"/>
      <w:r w:rsidRPr="00191B21">
        <w:rPr>
          <w:rFonts w:ascii="Arial" w:eastAsia="Arial" w:hAnsi="Arial" w:cs="Arial"/>
          <w:color w:val="000000"/>
          <w:sz w:val="20"/>
          <w:szCs w:val="20"/>
          <w:lang w:val="en-ID"/>
        </w:rPr>
        <w:t>diarrhea</w:t>
      </w:r>
      <w:proofErr w:type="spellEnd"/>
      <w:r w:rsidRPr="00191B21">
        <w:rPr>
          <w:rFonts w:ascii="Arial" w:eastAsia="Arial" w:hAnsi="Arial" w:cs="Arial"/>
          <w:color w:val="000000"/>
          <w:sz w:val="20"/>
          <w:szCs w:val="20"/>
          <w:lang w:val="en-ID"/>
        </w:rPr>
        <w:t xml:space="preserve"> due to unhygienic environments, and household comfort and </w:t>
      </w:r>
      <w:proofErr w:type="spellStart"/>
      <w:r w:rsidRPr="00191B21">
        <w:rPr>
          <w:rFonts w:ascii="Arial" w:eastAsia="Arial" w:hAnsi="Arial" w:cs="Arial"/>
          <w:color w:val="000000"/>
          <w:sz w:val="20"/>
          <w:szCs w:val="20"/>
          <w:lang w:val="en-ID"/>
        </w:rPr>
        <w:t>tranquility</w:t>
      </w:r>
      <w:proofErr w:type="spellEnd"/>
      <w:r w:rsidRPr="00191B21">
        <w:rPr>
          <w:rFonts w:ascii="Arial" w:eastAsia="Arial" w:hAnsi="Arial" w:cs="Arial"/>
          <w:color w:val="000000"/>
          <w:sz w:val="20"/>
          <w:szCs w:val="20"/>
          <w:lang w:val="en-ID"/>
        </w:rPr>
        <w:t xml:space="preserve"> were significantly disrupted, including the ability to perform religious practices. Moreover, uninhabitable housing often generated psychological distress among residents, manifesting as feelings of shame, social exclusion, and diminished self-confidence.</w:t>
      </w:r>
      <w:r>
        <w:rPr>
          <w:rFonts w:ascii="Arial" w:eastAsia="Arial" w:hAnsi="Arial" w:cs="Arial"/>
          <w:color w:val="000000"/>
          <w:sz w:val="20"/>
          <w:szCs w:val="20"/>
          <w:lang w:val="en-ID"/>
        </w:rPr>
        <w:t xml:space="preserve"> </w:t>
      </w:r>
    </w:p>
    <w:p w:rsidR="00E52122" w:rsidRDefault="00191B21" w:rsidP="004F3CA5">
      <w:pPr>
        <w:pStyle w:val="ListParagraph"/>
        <w:numPr>
          <w:ilvl w:val="0"/>
          <w:numId w:val="5"/>
        </w:numPr>
        <w:pBdr>
          <w:top w:val="nil"/>
          <w:left w:val="nil"/>
          <w:bottom w:val="nil"/>
          <w:right w:val="nil"/>
          <w:between w:val="nil"/>
        </w:pBdr>
        <w:spacing w:before="240" w:line="480" w:lineRule="auto"/>
        <w:ind w:left="0"/>
        <w:jc w:val="both"/>
        <w:rPr>
          <w:rFonts w:ascii="Arial" w:eastAsia="Arial" w:hAnsi="Arial" w:cs="Arial"/>
          <w:i/>
          <w:iCs/>
          <w:color w:val="000000"/>
          <w:sz w:val="20"/>
          <w:szCs w:val="20"/>
          <w:lang w:val="en-ID"/>
        </w:rPr>
      </w:pPr>
      <w:r>
        <w:rPr>
          <w:rFonts w:ascii="Arial" w:eastAsia="Arial" w:hAnsi="Arial" w:cs="Arial"/>
          <w:i/>
          <w:iCs/>
          <w:color w:val="000000"/>
          <w:sz w:val="20"/>
          <w:szCs w:val="20"/>
          <w:lang w:val="en-ID"/>
        </w:rPr>
        <w:t>Program Implementation</w:t>
      </w:r>
    </w:p>
    <w:p w:rsidR="00191B21" w:rsidRDefault="00191B21"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en-ID"/>
        </w:rPr>
      </w:pPr>
      <w:r w:rsidRPr="00191B21">
        <w:rPr>
          <w:rFonts w:ascii="Arial" w:eastAsia="Arial" w:hAnsi="Arial" w:cs="Arial"/>
          <w:color w:val="000000"/>
          <w:sz w:val="20"/>
          <w:szCs w:val="20"/>
          <w:lang w:val="en-ID"/>
        </w:rPr>
        <w:t xml:space="preserve">The home renovation assistance program in </w:t>
      </w:r>
      <w:proofErr w:type="spellStart"/>
      <w:r w:rsidRPr="00191B21">
        <w:rPr>
          <w:rFonts w:ascii="Arial" w:eastAsia="Arial" w:hAnsi="Arial" w:cs="Arial"/>
          <w:color w:val="000000"/>
          <w:sz w:val="20"/>
          <w:szCs w:val="20"/>
          <w:lang w:val="en-ID"/>
        </w:rPr>
        <w:t>Donorojo</w:t>
      </w:r>
      <w:proofErr w:type="spellEnd"/>
      <w:r w:rsidRPr="00191B21">
        <w:rPr>
          <w:rFonts w:ascii="Arial" w:eastAsia="Arial" w:hAnsi="Arial" w:cs="Arial"/>
          <w:color w:val="000000"/>
          <w:sz w:val="20"/>
          <w:szCs w:val="20"/>
          <w:lang w:val="en-ID"/>
        </w:rPr>
        <w:t xml:space="preserve"> District, </w:t>
      </w:r>
      <w:proofErr w:type="spellStart"/>
      <w:r w:rsidRPr="00191B21">
        <w:rPr>
          <w:rFonts w:ascii="Arial" w:eastAsia="Arial" w:hAnsi="Arial" w:cs="Arial"/>
          <w:color w:val="000000"/>
          <w:sz w:val="20"/>
          <w:szCs w:val="20"/>
          <w:lang w:val="en-ID"/>
        </w:rPr>
        <w:t>Pacitan</w:t>
      </w:r>
      <w:proofErr w:type="spellEnd"/>
      <w:r w:rsidRPr="00191B21">
        <w:rPr>
          <w:rFonts w:ascii="Arial" w:eastAsia="Arial" w:hAnsi="Arial" w:cs="Arial"/>
          <w:color w:val="000000"/>
          <w:sz w:val="20"/>
          <w:szCs w:val="20"/>
          <w:lang w:val="en-ID"/>
        </w:rPr>
        <w:t xml:space="preserve"> Regency, represents a tangible manifestation of the government's commitment, alongside various community elements, to improving the welfare of residents, particularly those living in substandard housing. In Bandar Village, the program has significantly transformed the lives of several underprivileged families. One example illustrating the program's positive impact is the experience of Mbah </w:t>
      </w:r>
      <w:proofErr w:type="spellStart"/>
      <w:r w:rsidRPr="00191B21">
        <w:rPr>
          <w:rFonts w:ascii="Arial" w:eastAsia="Arial" w:hAnsi="Arial" w:cs="Arial"/>
          <w:color w:val="000000"/>
          <w:sz w:val="20"/>
          <w:szCs w:val="20"/>
          <w:lang w:val="en-ID"/>
        </w:rPr>
        <w:t>Jaeman</w:t>
      </w:r>
      <w:proofErr w:type="spellEnd"/>
      <w:r w:rsidRPr="00191B21">
        <w:rPr>
          <w:rFonts w:ascii="Arial" w:eastAsia="Arial" w:hAnsi="Arial" w:cs="Arial"/>
          <w:color w:val="000000"/>
          <w:sz w:val="20"/>
          <w:szCs w:val="20"/>
          <w:lang w:val="en-ID"/>
        </w:rPr>
        <w:t xml:space="preserve">, a resident of </w:t>
      </w:r>
      <w:proofErr w:type="spellStart"/>
      <w:r w:rsidRPr="00191B21">
        <w:rPr>
          <w:rFonts w:ascii="Arial" w:eastAsia="Arial" w:hAnsi="Arial" w:cs="Arial"/>
          <w:color w:val="000000"/>
          <w:sz w:val="20"/>
          <w:szCs w:val="20"/>
          <w:lang w:val="en-ID"/>
        </w:rPr>
        <w:t>Tratas</w:t>
      </w:r>
      <w:proofErr w:type="spellEnd"/>
      <w:r w:rsidRPr="00191B21">
        <w:rPr>
          <w:rFonts w:ascii="Arial" w:eastAsia="Arial" w:hAnsi="Arial" w:cs="Arial"/>
          <w:color w:val="000000"/>
          <w:sz w:val="20"/>
          <w:szCs w:val="20"/>
          <w:lang w:val="en-ID"/>
        </w:rPr>
        <w:t xml:space="preserve"> Hamlet. Previously, Mbah </w:t>
      </w:r>
      <w:proofErr w:type="spellStart"/>
      <w:r w:rsidRPr="00191B21">
        <w:rPr>
          <w:rFonts w:ascii="Arial" w:eastAsia="Arial" w:hAnsi="Arial" w:cs="Arial"/>
          <w:color w:val="000000"/>
          <w:sz w:val="20"/>
          <w:szCs w:val="20"/>
          <w:lang w:val="en-ID"/>
        </w:rPr>
        <w:t>Jaeman</w:t>
      </w:r>
      <w:proofErr w:type="spellEnd"/>
      <w:r w:rsidRPr="00191B21">
        <w:rPr>
          <w:rFonts w:ascii="Arial" w:eastAsia="Arial" w:hAnsi="Arial" w:cs="Arial"/>
          <w:color w:val="000000"/>
          <w:sz w:val="20"/>
          <w:szCs w:val="20"/>
          <w:lang w:val="en-ID"/>
        </w:rPr>
        <w:t xml:space="preserve"> lived in a house that was on the verge of collapse, with a leaking roof, fragile walls, and damp dirt floors. Through financial assistance provided by the National Zakat Agency (BAZNAS), his house was successfully renovated into a decent and comfortable living space. The total assistance amounted to IDR 15 million, comprising IDR 12.5 million from BAZNAS East Java Province and IDR 2.5 million from BAZNAS Pacitan Regency. The house renovation process involved not only professional construction workers but also the active participation of local residents, who voluntarily contributed their </w:t>
      </w:r>
      <w:proofErr w:type="spellStart"/>
      <w:r w:rsidRPr="00191B21">
        <w:rPr>
          <w:rFonts w:ascii="Arial" w:eastAsia="Arial" w:hAnsi="Arial" w:cs="Arial"/>
          <w:color w:val="000000"/>
          <w:sz w:val="20"/>
          <w:szCs w:val="20"/>
          <w:lang w:val="en-ID"/>
        </w:rPr>
        <w:t>labor</w:t>
      </w:r>
      <w:proofErr w:type="spellEnd"/>
      <w:r w:rsidRPr="00191B21">
        <w:rPr>
          <w:rFonts w:ascii="Arial" w:eastAsia="Arial" w:hAnsi="Arial" w:cs="Arial"/>
          <w:color w:val="000000"/>
          <w:sz w:val="20"/>
          <w:szCs w:val="20"/>
          <w:lang w:val="en-ID"/>
        </w:rPr>
        <w:t xml:space="preserve"> through mutual cooperation. The house was officially inaugurated by the Regent of </w:t>
      </w:r>
      <w:proofErr w:type="spellStart"/>
      <w:r w:rsidRPr="00191B21">
        <w:rPr>
          <w:rFonts w:ascii="Arial" w:eastAsia="Arial" w:hAnsi="Arial" w:cs="Arial"/>
          <w:color w:val="000000"/>
          <w:sz w:val="20"/>
          <w:szCs w:val="20"/>
          <w:lang w:val="en-ID"/>
        </w:rPr>
        <w:t>Pacitan</w:t>
      </w:r>
      <w:proofErr w:type="spellEnd"/>
      <w:r w:rsidRPr="00191B21">
        <w:rPr>
          <w:rFonts w:ascii="Arial" w:eastAsia="Arial" w:hAnsi="Arial" w:cs="Arial"/>
          <w:color w:val="000000"/>
          <w:sz w:val="20"/>
          <w:szCs w:val="20"/>
          <w:lang w:val="en-ID"/>
        </w:rPr>
        <w:t xml:space="preserve">, </w:t>
      </w:r>
      <w:proofErr w:type="spellStart"/>
      <w:r w:rsidRPr="00191B21">
        <w:rPr>
          <w:rFonts w:ascii="Arial" w:eastAsia="Arial" w:hAnsi="Arial" w:cs="Arial"/>
          <w:color w:val="000000"/>
          <w:sz w:val="20"/>
          <w:szCs w:val="20"/>
          <w:lang w:val="en-ID"/>
        </w:rPr>
        <w:t>Indrata</w:t>
      </w:r>
      <w:proofErr w:type="spellEnd"/>
      <w:r w:rsidRPr="00191B21">
        <w:rPr>
          <w:rFonts w:ascii="Arial" w:eastAsia="Arial" w:hAnsi="Arial" w:cs="Arial"/>
          <w:color w:val="000000"/>
          <w:sz w:val="20"/>
          <w:szCs w:val="20"/>
          <w:lang w:val="en-ID"/>
        </w:rPr>
        <w:t xml:space="preserve"> Nur </w:t>
      </w:r>
      <w:proofErr w:type="spellStart"/>
      <w:r w:rsidRPr="00191B21">
        <w:rPr>
          <w:rFonts w:ascii="Arial" w:eastAsia="Arial" w:hAnsi="Arial" w:cs="Arial"/>
          <w:color w:val="000000"/>
          <w:sz w:val="20"/>
          <w:szCs w:val="20"/>
          <w:lang w:val="en-ID"/>
        </w:rPr>
        <w:t>Bayu</w:t>
      </w:r>
      <w:proofErr w:type="spellEnd"/>
      <w:r w:rsidRPr="00191B21">
        <w:rPr>
          <w:rFonts w:ascii="Arial" w:eastAsia="Arial" w:hAnsi="Arial" w:cs="Arial"/>
          <w:color w:val="000000"/>
          <w:sz w:val="20"/>
          <w:szCs w:val="20"/>
          <w:lang w:val="en-ID"/>
        </w:rPr>
        <w:t xml:space="preserve"> Aji, in March 2023. On that occasion, the Regent emphasized the importance of cross-sector collaboration in efforts to reduce poverty levels and revive communal values within society, such as mutual cooperation, solidarity, and caring for one another.</w:t>
      </w:r>
    </w:p>
    <w:p w:rsidR="008D31B6" w:rsidRPr="00191B21" w:rsidRDefault="00191B21"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en-ID"/>
        </w:rPr>
      </w:pPr>
      <w:r w:rsidRPr="00191B21">
        <w:rPr>
          <w:rFonts w:ascii="Arial" w:eastAsia="Arial" w:hAnsi="Arial" w:cs="Arial"/>
          <w:color w:val="000000"/>
          <w:sz w:val="20"/>
          <w:szCs w:val="20"/>
          <w:lang w:val="en-ID"/>
        </w:rPr>
        <w:lastRenderedPageBreak/>
        <w:t xml:space="preserve">Similarly, in </w:t>
      </w:r>
      <w:proofErr w:type="spellStart"/>
      <w:r w:rsidRPr="00191B21">
        <w:rPr>
          <w:rFonts w:ascii="Arial" w:eastAsia="Arial" w:hAnsi="Arial" w:cs="Arial"/>
          <w:color w:val="000000"/>
          <w:sz w:val="20"/>
          <w:szCs w:val="20"/>
          <w:lang w:val="en-ID"/>
        </w:rPr>
        <w:t>Sempu</w:t>
      </w:r>
      <w:proofErr w:type="spellEnd"/>
      <w:r w:rsidRPr="00191B21">
        <w:rPr>
          <w:rFonts w:ascii="Arial" w:eastAsia="Arial" w:hAnsi="Arial" w:cs="Arial"/>
          <w:color w:val="000000"/>
          <w:sz w:val="20"/>
          <w:szCs w:val="20"/>
          <w:lang w:val="en-ID"/>
        </w:rPr>
        <w:t xml:space="preserve"> Village, a strong spirit of mutual cooperation and togetherness was evident during the implementation of the home renovation program. The active involvement of the Indonesian National Armed Forces (TNI), particularly through </w:t>
      </w:r>
      <w:proofErr w:type="spellStart"/>
      <w:r w:rsidRPr="00191B21">
        <w:rPr>
          <w:rFonts w:ascii="Arial" w:eastAsia="Arial" w:hAnsi="Arial" w:cs="Arial"/>
          <w:color w:val="000000"/>
          <w:sz w:val="20"/>
          <w:szCs w:val="20"/>
          <w:lang w:val="en-ID"/>
        </w:rPr>
        <w:t>Babinsa</w:t>
      </w:r>
      <w:proofErr w:type="spellEnd"/>
      <w:r w:rsidRPr="00191B21">
        <w:rPr>
          <w:rFonts w:ascii="Arial" w:eastAsia="Arial" w:hAnsi="Arial" w:cs="Arial"/>
          <w:color w:val="000000"/>
          <w:sz w:val="20"/>
          <w:szCs w:val="20"/>
          <w:lang w:val="en-ID"/>
        </w:rPr>
        <w:t xml:space="preserve"> (Village Guidance Officers) from </w:t>
      </w:r>
      <w:proofErr w:type="spellStart"/>
      <w:r w:rsidRPr="00191B21">
        <w:rPr>
          <w:rFonts w:ascii="Arial" w:eastAsia="Arial" w:hAnsi="Arial" w:cs="Arial"/>
          <w:color w:val="000000"/>
          <w:sz w:val="20"/>
          <w:szCs w:val="20"/>
          <w:lang w:val="en-ID"/>
        </w:rPr>
        <w:t>Koramil</w:t>
      </w:r>
      <w:proofErr w:type="spellEnd"/>
      <w:r w:rsidRPr="00191B21">
        <w:rPr>
          <w:rFonts w:ascii="Arial" w:eastAsia="Arial" w:hAnsi="Arial" w:cs="Arial"/>
          <w:color w:val="000000"/>
          <w:sz w:val="20"/>
          <w:szCs w:val="20"/>
          <w:lang w:val="en-ID"/>
        </w:rPr>
        <w:t xml:space="preserve"> 0801/11 </w:t>
      </w:r>
      <w:proofErr w:type="spellStart"/>
      <w:r w:rsidRPr="00191B21">
        <w:rPr>
          <w:rFonts w:ascii="Arial" w:eastAsia="Arial" w:hAnsi="Arial" w:cs="Arial"/>
          <w:color w:val="000000"/>
          <w:sz w:val="20"/>
          <w:szCs w:val="20"/>
          <w:lang w:val="en-ID"/>
        </w:rPr>
        <w:t>Donorojo</w:t>
      </w:r>
      <w:proofErr w:type="spellEnd"/>
      <w:r w:rsidRPr="00191B21">
        <w:rPr>
          <w:rFonts w:ascii="Arial" w:eastAsia="Arial" w:hAnsi="Arial" w:cs="Arial"/>
          <w:color w:val="000000"/>
          <w:sz w:val="20"/>
          <w:szCs w:val="20"/>
          <w:lang w:val="en-ID"/>
        </w:rPr>
        <w:t xml:space="preserve">, led by Sergeant </w:t>
      </w:r>
      <w:proofErr w:type="spellStart"/>
      <w:r w:rsidRPr="00191B21">
        <w:rPr>
          <w:rFonts w:ascii="Arial" w:eastAsia="Arial" w:hAnsi="Arial" w:cs="Arial"/>
          <w:color w:val="000000"/>
          <w:sz w:val="20"/>
          <w:szCs w:val="20"/>
          <w:lang w:val="en-ID"/>
        </w:rPr>
        <w:t>Arief</w:t>
      </w:r>
      <w:proofErr w:type="spellEnd"/>
      <w:r w:rsidRPr="00191B21">
        <w:rPr>
          <w:rFonts w:ascii="Arial" w:eastAsia="Arial" w:hAnsi="Arial" w:cs="Arial"/>
          <w:color w:val="000000"/>
          <w:sz w:val="20"/>
          <w:szCs w:val="20"/>
          <w:lang w:val="en-ID"/>
        </w:rPr>
        <w:t xml:space="preserve">, played a crucial role in mobilizing the community to assist those in need. In December 2024, Sergeant </w:t>
      </w:r>
      <w:proofErr w:type="spellStart"/>
      <w:r w:rsidRPr="00191B21">
        <w:rPr>
          <w:rFonts w:ascii="Arial" w:eastAsia="Arial" w:hAnsi="Arial" w:cs="Arial"/>
          <w:color w:val="000000"/>
          <w:sz w:val="20"/>
          <w:szCs w:val="20"/>
          <w:lang w:val="en-ID"/>
        </w:rPr>
        <w:t>Arief</w:t>
      </w:r>
      <w:proofErr w:type="spellEnd"/>
      <w:r w:rsidRPr="00191B21">
        <w:rPr>
          <w:rFonts w:ascii="Arial" w:eastAsia="Arial" w:hAnsi="Arial" w:cs="Arial"/>
          <w:color w:val="000000"/>
          <w:sz w:val="20"/>
          <w:szCs w:val="20"/>
          <w:lang w:val="en-ID"/>
        </w:rPr>
        <w:t xml:space="preserve">, alongside the residents of </w:t>
      </w:r>
      <w:proofErr w:type="spellStart"/>
      <w:r w:rsidRPr="00191B21">
        <w:rPr>
          <w:rFonts w:ascii="Arial" w:eastAsia="Arial" w:hAnsi="Arial" w:cs="Arial"/>
          <w:color w:val="000000"/>
          <w:sz w:val="20"/>
          <w:szCs w:val="20"/>
          <w:lang w:val="en-ID"/>
        </w:rPr>
        <w:t>Sempu</w:t>
      </w:r>
      <w:proofErr w:type="spellEnd"/>
      <w:r w:rsidRPr="00191B21">
        <w:rPr>
          <w:rFonts w:ascii="Arial" w:eastAsia="Arial" w:hAnsi="Arial" w:cs="Arial"/>
          <w:color w:val="000000"/>
          <w:sz w:val="20"/>
          <w:szCs w:val="20"/>
          <w:lang w:val="en-ID"/>
        </w:rPr>
        <w:t xml:space="preserve"> Village, carried out the renovation of a severely dilapidated and hazardous home belonging to a disadvantaged resident. The activity was conducted collectively, with residents and officials working hand in hand to transport building materials, repair structural components, and replace leaking roofs. The presence of </w:t>
      </w:r>
      <w:proofErr w:type="spellStart"/>
      <w:r w:rsidRPr="00191B21">
        <w:rPr>
          <w:rFonts w:ascii="Arial" w:eastAsia="Arial" w:hAnsi="Arial" w:cs="Arial"/>
          <w:color w:val="000000"/>
          <w:sz w:val="20"/>
          <w:szCs w:val="20"/>
          <w:lang w:val="en-ID"/>
        </w:rPr>
        <w:t>Babinsa</w:t>
      </w:r>
      <w:proofErr w:type="spellEnd"/>
      <w:r w:rsidRPr="00191B21">
        <w:rPr>
          <w:rFonts w:ascii="Arial" w:eastAsia="Arial" w:hAnsi="Arial" w:cs="Arial"/>
          <w:color w:val="000000"/>
          <w:sz w:val="20"/>
          <w:szCs w:val="20"/>
          <w:lang w:val="en-ID"/>
        </w:rPr>
        <w:t xml:space="preserve"> among the community not only accelerated the renovation process but also strengthened the relationship between the military personnel and local residents, reflecting the unity between the TNI and the people. Although not formally framed within a religious context, such practices embody noble Islamic values, including </w:t>
      </w:r>
      <w:proofErr w:type="spellStart"/>
      <w:r w:rsidRPr="00191B21">
        <w:rPr>
          <w:rFonts w:ascii="Arial" w:eastAsia="Arial" w:hAnsi="Arial" w:cs="Arial"/>
          <w:color w:val="000000"/>
          <w:sz w:val="20"/>
          <w:szCs w:val="20"/>
          <w:lang w:val="en-ID"/>
        </w:rPr>
        <w:t>ta'awun</w:t>
      </w:r>
      <w:proofErr w:type="spellEnd"/>
      <w:r w:rsidRPr="00191B21">
        <w:rPr>
          <w:rFonts w:ascii="Arial" w:eastAsia="Arial" w:hAnsi="Arial" w:cs="Arial"/>
          <w:color w:val="000000"/>
          <w:sz w:val="20"/>
          <w:szCs w:val="20"/>
          <w:lang w:val="en-ID"/>
        </w:rPr>
        <w:t xml:space="preserve"> (mutual assistance) and ukhuwah (brotherhood), which naturally flourish within the cultural fabric of village communities.</w:t>
      </w:r>
      <w:r>
        <w:rPr>
          <w:rFonts w:ascii="Arial" w:eastAsia="Arial" w:hAnsi="Arial" w:cs="Arial"/>
          <w:color w:val="000000"/>
          <w:sz w:val="20"/>
          <w:szCs w:val="20"/>
          <w:lang w:val="en-ID"/>
        </w:rPr>
        <w:t xml:space="preserve"> </w:t>
      </w:r>
    </w:p>
    <w:p w:rsidR="00E52122" w:rsidRDefault="00191B21" w:rsidP="004F3CA5">
      <w:pPr>
        <w:pStyle w:val="ListParagraph"/>
        <w:numPr>
          <w:ilvl w:val="0"/>
          <w:numId w:val="5"/>
        </w:numPr>
        <w:pBdr>
          <w:top w:val="nil"/>
          <w:left w:val="nil"/>
          <w:bottom w:val="nil"/>
          <w:right w:val="nil"/>
          <w:between w:val="nil"/>
        </w:pBdr>
        <w:spacing w:before="240" w:line="480" w:lineRule="auto"/>
        <w:ind w:left="0"/>
        <w:jc w:val="both"/>
        <w:rPr>
          <w:rFonts w:ascii="Arial" w:eastAsia="Arial" w:hAnsi="Arial" w:cs="Arial"/>
          <w:i/>
          <w:iCs/>
          <w:color w:val="000000"/>
          <w:sz w:val="20"/>
          <w:szCs w:val="20"/>
          <w:lang w:val="de-LU"/>
        </w:rPr>
      </w:pPr>
      <w:r>
        <w:rPr>
          <w:rFonts w:ascii="Arial" w:eastAsia="Arial" w:hAnsi="Arial" w:cs="Arial"/>
          <w:i/>
          <w:iCs/>
          <w:color w:val="000000"/>
          <w:sz w:val="20"/>
          <w:szCs w:val="20"/>
          <w:lang w:val="de-LU"/>
        </w:rPr>
        <w:t>Program Impact</w:t>
      </w:r>
    </w:p>
    <w:p w:rsidR="00191B21" w:rsidRDefault="00191B21"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de-LU"/>
        </w:rPr>
      </w:pPr>
      <w:r w:rsidRPr="00191B21">
        <w:rPr>
          <w:rFonts w:ascii="Arial" w:eastAsia="Arial" w:hAnsi="Arial" w:cs="Arial"/>
          <w:color w:val="000000"/>
          <w:sz w:val="20"/>
          <w:szCs w:val="20"/>
          <w:lang w:val="de-LU"/>
        </w:rPr>
        <w:t>The housing renovation program implemented in Donorojo District, particularly in Bandar and Sempu Villages, has generated extensive and multidimensional impacts on the lives of its beneficiaries. From a physical perspective, the program has significantly improved the quality of housing, which was previously uninhabitable and posed serious health and safety risks to its occupants. Many houses that suffered from leaking roofs and fragile walls have been reconstructed using more durable and weather-resistant materials. Earthen floors have been replaced with cement, creating cleaner, drier, and healthier living spaces. Additionally, the installation of ventilation systems and windows has enhanced air circulation and access to natural light, thereby contributing to the overall well-being of residents. With sturdier, brighter, and more sanitary homes, residents can now carry out daily activities more comfortably and safely, especially during the rainy season, which previously</w:t>
      </w:r>
      <w:r>
        <w:rPr>
          <w:rFonts w:ascii="Arial" w:eastAsia="Arial" w:hAnsi="Arial" w:cs="Arial"/>
          <w:color w:val="000000"/>
          <w:sz w:val="20"/>
          <w:szCs w:val="20"/>
          <w:lang w:val="de-LU"/>
        </w:rPr>
        <w:t xml:space="preserve"> posed considerable challenges.</w:t>
      </w:r>
    </w:p>
    <w:p w:rsidR="00191B21" w:rsidRDefault="00191B21"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de-LU"/>
        </w:rPr>
      </w:pPr>
      <w:r w:rsidRPr="00191B21">
        <w:rPr>
          <w:rFonts w:ascii="Arial" w:eastAsia="Arial" w:hAnsi="Arial" w:cs="Arial"/>
          <w:color w:val="000000"/>
          <w:sz w:val="20"/>
          <w:szCs w:val="20"/>
          <w:lang w:val="de-LU"/>
        </w:rPr>
        <w:t xml:space="preserve">The program has also produced significant social impacts. The community-based implementation of the housing renovation initiative, which heavily relies on collective action or </w:t>
      </w:r>
      <w:r w:rsidRPr="00191B21">
        <w:rPr>
          <w:rFonts w:ascii="Arial" w:eastAsia="Arial" w:hAnsi="Arial" w:cs="Arial"/>
          <w:color w:val="000000"/>
          <w:sz w:val="20"/>
          <w:szCs w:val="20"/>
          <w:lang w:val="de-LU"/>
        </w:rPr>
        <w:lastRenderedPageBreak/>
        <w:t>gotong royong, has successfully revitalized social cohesion, a hallmark of rural communities. Residents from diverse backgrounds voluntarily contributed to the construction process, from transporting building materials to assisting with house repairs. The involvement of community leaders and officials, such as the village-based military officer (Babinsa), has further strengthened social solidarity among residents. In villages with strong religious values, such as Bandar and Sempu, community participation in this program has also been driven by Islamic principles, particularly ta'awun (mutual assistance) and ukhuwah (brotherhood). This demonstrates that community-based initiatives anchored in religious values can serve as effective drivers for the success of grassroots development programs.</w:t>
      </w:r>
    </w:p>
    <w:p w:rsidR="00191B21" w:rsidRDefault="00191B21"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de-LU"/>
        </w:rPr>
      </w:pPr>
      <w:r w:rsidRPr="00191B21">
        <w:rPr>
          <w:rFonts w:ascii="Arial" w:eastAsia="Arial" w:hAnsi="Arial" w:cs="Arial"/>
          <w:color w:val="000000"/>
          <w:sz w:val="20"/>
          <w:szCs w:val="20"/>
          <w:lang w:val="de-LU"/>
        </w:rPr>
        <w:t>Moreover, the program has delivered profound spiritual benefits for the beneficiaries. The improved condition of their homes has allowed residents to experience greater peace and comfort in their daily lives. Clean, safe, and orderly homes have created more conducive environments for performing religious practices with devotion. Previously, the poor condition of the houses, including leaks and limited space, often disrupted religious activities and made it difficult to provide suitable areas for prayer. Following the renovations, many beneficiaries have reported a heightened sense of spiritual well-being within their homes. Some residents even expressed deep gratitude, feeling that the program has granted them the opportunity to live with greater dignity and to fulfill their religious obligations more comfortably. This indicates that improvements in housing conditions not only provide tangible physical and social benefits but also foster inner peace and strengthen religious faith. Thus, the housing renovation program serves as a holistic intervention, addressing both the material and spiritual dimensions of life for the disadvantaged communities it targets.</w:t>
      </w:r>
      <w:r>
        <w:rPr>
          <w:rFonts w:ascii="Arial" w:eastAsia="Arial" w:hAnsi="Arial" w:cs="Arial"/>
          <w:color w:val="000000"/>
          <w:sz w:val="20"/>
          <w:szCs w:val="20"/>
          <w:lang w:val="de-LU"/>
        </w:rPr>
        <w:t xml:space="preserve"> </w:t>
      </w:r>
    </w:p>
    <w:p w:rsidR="00E52122" w:rsidRDefault="00191B21" w:rsidP="004F3CA5">
      <w:pPr>
        <w:pStyle w:val="ListParagraph"/>
        <w:numPr>
          <w:ilvl w:val="0"/>
          <w:numId w:val="5"/>
        </w:numPr>
        <w:pBdr>
          <w:top w:val="nil"/>
          <w:left w:val="nil"/>
          <w:bottom w:val="nil"/>
          <w:right w:val="nil"/>
          <w:between w:val="nil"/>
        </w:pBdr>
        <w:spacing w:before="240" w:line="480" w:lineRule="auto"/>
        <w:ind w:left="0"/>
        <w:jc w:val="both"/>
        <w:rPr>
          <w:rFonts w:ascii="Arial" w:eastAsia="Arial" w:hAnsi="Arial" w:cs="Arial"/>
          <w:i/>
          <w:iCs/>
          <w:color w:val="000000"/>
          <w:sz w:val="20"/>
          <w:szCs w:val="20"/>
          <w:lang w:val="de-LU"/>
        </w:rPr>
      </w:pPr>
      <w:r>
        <w:rPr>
          <w:rFonts w:ascii="Arial" w:eastAsia="Arial" w:hAnsi="Arial" w:cs="Arial"/>
          <w:i/>
          <w:iCs/>
          <w:color w:val="000000"/>
          <w:sz w:val="20"/>
          <w:szCs w:val="20"/>
          <w:lang w:val="de-LU"/>
        </w:rPr>
        <w:t>Discussion</w:t>
      </w:r>
    </w:p>
    <w:p w:rsidR="002A01BA" w:rsidRDefault="002A01BA"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de-LU"/>
        </w:rPr>
      </w:pPr>
      <w:r w:rsidRPr="002A01BA">
        <w:rPr>
          <w:rFonts w:ascii="Arial" w:eastAsia="Arial" w:hAnsi="Arial" w:cs="Arial"/>
          <w:color w:val="000000"/>
          <w:sz w:val="20"/>
          <w:szCs w:val="20"/>
          <w:lang w:val="de-LU"/>
        </w:rPr>
        <w:t xml:space="preserve">The issue of uninhabitable housing (RTLH) in Pacitan Regency, particularly in Donorojo District, reflects a complex socio-economic condition that demands development approaches that are not only technical but also grounded in social and religious values. The housing renovation program implemented in Bandar and Sempu Villages demonstrates that physical interventions, such as improving residential conditions, have a significant impact on the quality of life for </w:t>
      </w:r>
      <w:r w:rsidRPr="002A01BA">
        <w:rPr>
          <w:rFonts w:ascii="Arial" w:eastAsia="Arial" w:hAnsi="Arial" w:cs="Arial"/>
          <w:color w:val="000000"/>
          <w:sz w:val="20"/>
          <w:szCs w:val="20"/>
          <w:lang w:val="de-LU"/>
        </w:rPr>
        <w:lastRenderedPageBreak/>
        <w:t>impoverished communities. These improvements extend beyond mere physical comfort to positively affect the health, psychological well-being, and spiritual life of residents. Houses that were previously cramped, leaking, and unhealthy have, after renovation, provided more suitable living spaces for daily activities, including religious practices. This finding aligns with</w:t>
      </w:r>
      <w:r>
        <w:rPr>
          <w:rFonts w:ascii="Arial" w:eastAsia="Arial" w:hAnsi="Arial" w:cs="Arial"/>
          <w:color w:val="000000"/>
          <w:sz w:val="20"/>
          <w:szCs w:val="20"/>
          <w:lang w:val="de-LU"/>
        </w:rPr>
        <w:t xml:space="preserve"> </w:t>
      </w:r>
      <w:r w:rsidR="005A3C34">
        <w:rPr>
          <w:rFonts w:ascii="Arial" w:eastAsia="Arial" w:hAnsi="Arial" w:cs="Arial"/>
          <w:color w:val="000000"/>
          <w:sz w:val="20"/>
          <w:szCs w:val="20"/>
          <w:lang w:val="de-LU"/>
        </w:rPr>
        <w:fldChar w:fldCharType="begin"/>
      </w:r>
      <w:r w:rsidR="005A3C34">
        <w:rPr>
          <w:rFonts w:ascii="Arial" w:eastAsia="Arial" w:hAnsi="Arial" w:cs="Arial"/>
          <w:color w:val="000000"/>
          <w:sz w:val="20"/>
          <w:szCs w:val="20"/>
          <w:lang w:val="de-LU"/>
        </w:rPr>
        <w:instrText>ADDIN CSL_CITATION {"citationItems":[{"id":"ITEM-1","itemData":{"abstract":"Pemerintah Kota Surabaya menggandeng Dinas Perumahan Rakyat dan Kawasan Permukiman serta\nPertanahan Kota Surabaya untuk meningkatkan kualitas hidup warga. Salah satu upaya dilakukan dengan\nmembuat suatu program kebijakan E-Rutilahu berfokus pada hunian yang layak untuk masyarakat miskin.\nProgram Rumah tidak layak huni ini dimaksudkan untuk memperbaiki rumah yang tidak layak huni, karena\nmasih adanya warga Surabaya yang rumahnya belum layak huni, dengan adanya program ini diharapkan\nmasyarakat miskin yang memiliki rumah tidak layak huni mendapatkan rumah yang layak dan dapat\nmeningkatkan kualitas hidupnya. Penelitian ini bertujuan untuk mengidentifikasi faktor-faktor yang\nmenyebabkan rumah menjadi tidak layak huni dan dampaknya terhadap kesejahteraan masyarakat. Metode\npenelitian yang digunakan adalah kualitatif. Teknik pengumpulan data yang digunakan melalui wawancara,\nobservasi, dan dokumentasi. Hasil penelitian menunjukkan bahwa faktor-faktor utama yang menyebabkan\nrumah tidak layak huni antara lain adalah kerusakan struktural, kebocoran atap, retakan dinding, dan masalah\nlain yang dapat mengancam keamanan serta keberlangsungan rumah tersebut. Dampak dari kondisi rumah\nyang tidak layak huni ini sangat beragam, mulai dari masalah kesehatan, lingkungan yang tidak aman, resiko\nkecelakaan, kualitas hidup yang buruk, serta dampak sosial dan ekonomi.Teori yang digunakan adalah teori\nimplementasi kebijakan menurut Van Meter dan Van Horn yang terdiri dari standar kebijakan, sumber daya,\nkarakteristik organisasi, sikap para pelaksana, komunikasi antara organisasi, dan lingkungan sosial ekonomi.\nMelalui temuan-temuan penelitian ini, diharapkan dapat memberikan kontribusi dalam pengembangan\nkebijakan dan program yang bertujuan untuk meningkatkan kondisi perumahan serta kesejahteraan\nmasyarakat.\nKata Kunci: Implementasi Program, Kemiskinan, E-Rutilahu","author":[{"dropping-particle":"","family":"Pampur","given":"Flavianus","non-dropping-particle":"","parse-names":false,"suffix":""},{"dropping-particle":"","family":"Devy Pramudiana","given":"Ika","non-dropping-particle":"","parse-names":false,"suffix":""},{"dropping-particle":"","family":"Kamariyah","given":"Sri","non-dropping-particle":"","parse-names":false,"suffix":""}],"container-title":"Sap","id":"ITEM-1","issue":"1","issued":{"date-parts":[["2024"]]},"page":"93-104","title":"Implementasi Program Perbaikan Rumah Tidak Layak Huni Melalui E-Rutilahu bagi Keluarga Miskin (Gamis) oleh Dinas Perumahan Rakyat dan Kawasan Permukiman serta Pertanahan Kota Surabaya","type":"article-journal","volume":"2"},"uris":["http://www.mendeley.com/documents/?uuid=179e8082-1aab-4841-b74b-7e1e2e0711c6"]}],"mendeley":{"formattedCitation":"(Pampur, Devy Pramudiana, &amp; Kamariyah, 2024)","manualFormatting":"Pampur et al. (2024)","plainTextFormattedCitation":"(Pampur, Devy Pramudiana, &amp; Kamariyah, 2024)","previouslyFormattedCitation":"(Pampur et al., 2024)"},"properties":{"noteIndex":0},"schema":"https://github.com/citation-style-language/schema/raw/master/csl-citation.json"}</w:instrText>
      </w:r>
      <w:r w:rsidR="005A3C34">
        <w:rPr>
          <w:rFonts w:ascii="Arial" w:eastAsia="Arial" w:hAnsi="Arial" w:cs="Arial"/>
          <w:color w:val="000000"/>
          <w:sz w:val="20"/>
          <w:szCs w:val="20"/>
          <w:lang w:val="de-LU"/>
        </w:rPr>
        <w:fldChar w:fldCharType="separate"/>
      </w:r>
      <w:r w:rsidR="005A3C34">
        <w:rPr>
          <w:rFonts w:ascii="Arial" w:eastAsia="Arial" w:hAnsi="Arial" w:cs="Arial"/>
          <w:noProof/>
          <w:color w:val="000000"/>
          <w:sz w:val="20"/>
          <w:szCs w:val="20"/>
          <w:lang w:val="de-LU"/>
        </w:rPr>
        <w:t>Pampur et al. (2024)</w:t>
      </w:r>
      <w:r w:rsidR="005A3C34">
        <w:rPr>
          <w:rFonts w:ascii="Arial" w:eastAsia="Arial" w:hAnsi="Arial" w:cs="Arial"/>
          <w:color w:val="000000"/>
          <w:sz w:val="20"/>
          <w:szCs w:val="20"/>
          <w:lang w:val="de-LU"/>
        </w:rPr>
        <w:fldChar w:fldCharType="end"/>
      </w:r>
      <w:r w:rsidR="005A3C34">
        <w:rPr>
          <w:rFonts w:ascii="Arial" w:eastAsia="Arial" w:hAnsi="Arial" w:cs="Arial"/>
          <w:color w:val="000000"/>
          <w:sz w:val="20"/>
          <w:szCs w:val="20"/>
          <w:lang w:val="de-LU"/>
        </w:rPr>
        <w:t xml:space="preserve">, </w:t>
      </w:r>
      <w:r w:rsidRPr="002A01BA">
        <w:rPr>
          <w:rFonts w:ascii="Arial" w:eastAsia="Arial" w:hAnsi="Arial" w:cs="Arial"/>
          <w:color w:val="000000"/>
          <w:sz w:val="20"/>
          <w:szCs w:val="20"/>
          <w:lang w:val="de-LU"/>
        </w:rPr>
        <w:t>who emphasize that improving housing quality significantly contributes to community welfare, encompassing health, comfort, and safety aspects.</w:t>
      </w:r>
      <w:r>
        <w:rPr>
          <w:rFonts w:ascii="Arial" w:eastAsia="Arial" w:hAnsi="Arial" w:cs="Arial"/>
          <w:color w:val="000000"/>
          <w:sz w:val="20"/>
          <w:szCs w:val="20"/>
          <w:lang w:val="de-LU"/>
        </w:rPr>
        <w:t xml:space="preserve"> </w:t>
      </w:r>
    </w:p>
    <w:p w:rsidR="002A01BA" w:rsidRDefault="002A01BA"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de-LU"/>
        </w:rPr>
      </w:pPr>
      <w:r w:rsidRPr="002A01BA">
        <w:rPr>
          <w:rFonts w:ascii="Arial" w:eastAsia="Arial" w:hAnsi="Arial" w:cs="Arial"/>
          <w:color w:val="000000"/>
          <w:sz w:val="20"/>
          <w:szCs w:val="20"/>
          <w:lang w:val="de-LU"/>
        </w:rPr>
        <w:t>Nevertheless, although this program has delivered tangible physical and psychological benefits, its limitations remain evident in the predominantly charitable and top-down nature of its approach. Communities are often positioned as passive recipients of assistance, without being fully involved in the planning and decision-making processes. Effective social development, however, is participatory and rooted in the community, rather than limited to the distribution of aid</w:t>
      </w:r>
      <w:r>
        <w:rPr>
          <w:rFonts w:ascii="Arial" w:eastAsia="Arial" w:hAnsi="Arial" w:cs="Arial"/>
          <w:color w:val="000000"/>
          <w:sz w:val="20"/>
          <w:szCs w:val="20"/>
          <w:lang w:val="de-LU"/>
        </w:rPr>
        <w:t xml:space="preserve"> </w:t>
      </w:r>
      <w:r w:rsidR="005A3C34">
        <w:rPr>
          <w:rFonts w:ascii="Arial" w:eastAsia="Arial" w:hAnsi="Arial" w:cs="Arial"/>
          <w:color w:val="000000"/>
          <w:sz w:val="20"/>
          <w:szCs w:val="20"/>
          <w:lang w:val="de-LU"/>
        </w:rPr>
        <w:fldChar w:fldCharType="begin"/>
      </w:r>
      <w:r w:rsidR="005A3C34">
        <w:rPr>
          <w:rFonts w:ascii="Arial" w:eastAsia="Arial" w:hAnsi="Arial" w:cs="Arial"/>
          <w:color w:val="000000"/>
          <w:sz w:val="20"/>
          <w:szCs w:val="20"/>
          <w:lang w:val="de-LU"/>
        </w:rPr>
        <w:instrText>ADDIN CSL_CITATION {"citationItems":[{"id":"ITEM-1","itemData":{"DOI":"10.37858/publisitas.v9i2.326","ISSN":"2252-4150","abstract":"This study discusses how public services provide social welfare to the community. In the study of public service analysis for the social welfare of the community related to local government policies with minimum service standards originating from central policy. This study aims to describe how public services for community social welfare in Gandus District, Palembang City can run well according to the wishes of the local community. This study uses qualitative methods with data collection techniques of observation, interviews, and literature studies. The informants in this study were 13 (thirteen) people, and the sample was taken using the Snowball Sample. The results of the study found that public services related to policies in social welfare services for the community have been going well, this is strengthened by the activities carried out by the Government as much as possible in realizing a good service as a whole for the benefit of society.","author":[{"dropping-particle":"","family":"Pusnita","given":"Indah","non-dropping-particle":"","parse-names":false,"suffix":""},{"dropping-particle":"","family":"Wagisri","given":"Wagisri","non-dropping-particle":"","parse-names":false,"suffix":""},{"dropping-particle":"","family":"Berlian","given":"Ong","non-dropping-particle":"","parse-names":false,"suffix":""},{"dropping-particle":"","family":"Marleni","given":"Marleni","non-dropping-particle":"","parse-names":false,"suffix":""}],"container-title":"Jurnal Publisitas","id":"ITEM-1","issue":"2","issued":{"date-parts":[["2023"]]},"page":"187-198","title":"Pelayanan Kesehatan dalam Pembangunan Kesejahteraan Sosial di Kecamatan Gandus Kota Palembang","type":"article-journal","volume":"9"},"uris":["http://www.mendeley.com/documents/?uuid=bb7828cd-7229-48a6-9930-6935ce39a8fd"]}],"mendeley":{"formattedCitation":"(Pusnita, Wagisri, Berlian, &amp; Marleni, 2023)","plainTextFormattedCitation":"(Pusnita, Wagisri, Berlian, &amp; Marleni, 2023)","previouslyFormattedCitation":"(Pusnita et al., 2023)"},"properties":{"noteIndex":0},"schema":"https://github.com/citation-style-language/schema/raw/master/csl-citation.json"}</w:instrText>
      </w:r>
      <w:r w:rsidR="005A3C34">
        <w:rPr>
          <w:rFonts w:ascii="Arial" w:eastAsia="Arial" w:hAnsi="Arial" w:cs="Arial"/>
          <w:color w:val="000000"/>
          <w:sz w:val="20"/>
          <w:szCs w:val="20"/>
          <w:lang w:val="de-LU"/>
        </w:rPr>
        <w:fldChar w:fldCharType="separate"/>
      </w:r>
      <w:r w:rsidR="005A3C34">
        <w:rPr>
          <w:rFonts w:ascii="Arial" w:eastAsia="Arial" w:hAnsi="Arial" w:cs="Arial"/>
          <w:noProof/>
          <w:color w:val="000000"/>
          <w:sz w:val="20"/>
          <w:szCs w:val="20"/>
          <w:lang w:val="de-LU"/>
        </w:rPr>
        <w:t>(Pusnita, Wagisri, Berlian, &amp; Marleni, 2023)</w:t>
      </w:r>
      <w:r w:rsidR="005A3C34">
        <w:rPr>
          <w:rFonts w:ascii="Arial" w:eastAsia="Arial" w:hAnsi="Arial" w:cs="Arial"/>
          <w:color w:val="000000"/>
          <w:sz w:val="20"/>
          <w:szCs w:val="20"/>
          <w:lang w:val="de-LU"/>
        </w:rPr>
        <w:fldChar w:fldCharType="end"/>
      </w:r>
      <w:r w:rsidR="005A3C34">
        <w:rPr>
          <w:rFonts w:ascii="Arial" w:eastAsia="Arial" w:hAnsi="Arial" w:cs="Arial"/>
          <w:color w:val="000000"/>
          <w:sz w:val="20"/>
          <w:szCs w:val="20"/>
          <w:lang w:val="de-LU"/>
        </w:rPr>
        <w:t xml:space="preserve">. </w:t>
      </w:r>
      <w:r w:rsidRPr="002A01BA">
        <w:rPr>
          <w:rFonts w:ascii="Arial" w:eastAsia="Arial" w:hAnsi="Arial" w:cs="Arial"/>
          <w:color w:val="000000"/>
          <w:sz w:val="20"/>
          <w:szCs w:val="20"/>
          <w:lang w:val="de-LU"/>
        </w:rPr>
        <w:t xml:space="preserve">In this context, the Islamic Community Development (PMI) approach becomes highly relevant as a strategic alternative. PMI positions communities as active agents of development, promoting empowerment through Islamic values such as </w:t>
      </w:r>
      <w:r w:rsidR="00C3009A" w:rsidRPr="00C3009A">
        <w:rPr>
          <w:rFonts w:ascii="Arial" w:eastAsia="Arial" w:hAnsi="Arial" w:cs="Arial"/>
          <w:i/>
          <w:color w:val="000000"/>
          <w:sz w:val="20"/>
          <w:szCs w:val="20"/>
          <w:lang w:val="de-LU"/>
        </w:rPr>
        <w:t>ta’awun</w:t>
      </w:r>
      <w:r w:rsidRPr="002A01BA">
        <w:rPr>
          <w:rFonts w:ascii="Arial" w:eastAsia="Arial" w:hAnsi="Arial" w:cs="Arial"/>
          <w:color w:val="000000"/>
          <w:sz w:val="20"/>
          <w:szCs w:val="20"/>
          <w:lang w:val="de-LU"/>
        </w:rPr>
        <w:t xml:space="preserve"> (mutual assistance), </w:t>
      </w:r>
      <w:r w:rsidR="00C3009A" w:rsidRPr="00C3009A">
        <w:rPr>
          <w:rFonts w:ascii="Arial" w:eastAsia="Arial" w:hAnsi="Arial" w:cs="Arial"/>
          <w:i/>
          <w:color w:val="000000"/>
          <w:sz w:val="20"/>
          <w:szCs w:val="20"/>
          <w:lang w:val="de-LU"/>
        </w:rPr>
        <w:t>ukhuwah</w:t>
      </w:r>
      <w:r w:rsidRPr="002A01BA">
        <w:rPr>
          <w:rFonts w:ascii="Arial" w:eastAsia="Arial" w:hAnsi="Arial" w:cs="Arial"/>
          <w:color w:val="000000"/>
          <w:sz w:val="20"/>
          <w:szCs w:val="20"/>
          <w:lang w:val="de-LU"/>
        </w:rPr>
        <w:t xml:space="preserve"> (brotherhood), and </w:t>
      </w:r>
      <w:r w:rsidR="009D4016" w:rsidRPr="009D4016">
        <w:rPr>
          <w:rFonts w:ascii="Arial" w:eastAsia="Arial" w:hAnsi="Arial" w:cs="Arial"/>
          <w:i/>
          <w:color w:val="000000"/>
          <w:sz w:val="20"/>
          <w:szCs w:val="20"/>
          <w:lang w:val="de-LU"/>
        </w:rPr>
        <w:t>maslahah</w:t>
      </w:r>
      <w:r w:rsidRPr="002A01BA">
        <w:rPr>
          <w:rFonts w:ascii="Arial" w:eastAsia="Arial" w:hAnsi="Arial" w:cs="Arial"/>
          <w:color w:val="000000"/>
          <w:sz w:val="20"/>
          <w:szCs w:val="20"/>
          <w:lang w:val="de-LU"/>
        </w:rPr>
        <w:t xml:space="preserve"> (public benefit). These values have been visibly reflected in the community's collective work (gotong royong) and the involvement of religious leaders and village officials in program implementation.</w:t>
      </w:r>
      <w:r>
        <w:rPr>
          <w:rFonts w:ascii="Arial" w:eastAsia="Arial" w:hAnsi="Arial" w:cs="Arial"/>
          <w:color w:val="000000"/>
          <w:sz w:val="20"/>
          <w:szCs w:val="20"/>
          <w:lang w:val="de-LU"/>
        </w:rPr>
        <w:t xml:space="preserve"> </w:t>
      </w:r>
    </w:p>
    <w:p w:rsidR="00E52122" w:rsidRDefault="002A01BA"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de-LU"/>
        </w:rPr>
      </w:pPr>
      <w:r w:rsidRPr="002A01BA">
        <w:rPr>
          <w:rFonts w:ascii="Arial" w:eastAsia="Arial" w:hAnsi="Arial" w:cs="Arial"/>
          <w:color w:val="000000"/>
          <w:sz w:val="20"/>
          <w:szCs w:val="20"/>
          <w:lang w:val="de-LU"/>
        </w:rPr>
        <w:t>Support from religious institutions such as BAZNAS and the active participation of the military (TNI) further illustrate the effectiveness of cross-sector collaboration in addressing structural poverty. This aligns with</w:t>
      </w:r>
      <w:r>
        <w:rPr>
          <w:rFonts w:ascii="Arial" w:eastAsia="Arial" w:hAnsi="Arial" w:cs="Arial"/>
          <w:color w:val="000000"/>
          <w:sz w:val="20"/>
          <w:szCs w:val="20"/>
          <w:lang w:val="de-LU"/>
        </w:rPr>
        <w:t xml:space="preserve"> </w:t>
      </w:r>
      <w:r w:rsidR="005A3C34">
        <w:rPr>
          <w:rFonts w:ascii="Arial" w:eastAsia="Arial" w:hAnsi="Arial" w:cs="Arial"/>
          <w:color w:val="000000"/>
          <w:sz w:val="20"/>
          <w:szCs w:val="20"/>
          <w:lang w:val="de-LU"/>
        </w:rPr>
        <w:fldChar w:fldCharType="begin"/>
      </w:r>
      <w:r w:rsidR="005A3C34">
        <w:rPr>
          <w:rFonts w:ascii="Arial" w:eastAsia="Arial" w:hAnsi="Arial" w:cs="Arial"/>
          <w:color w:val="000000"/>
          <w:sz w:val="20"/>
          <w:szCs w:val="20"/>
          <w:lang w:val="de-LU"/>
        </w:rPr>
        <w:instrText>ADDIN CSL_CITATION {"citationItems":[{"id":"ITEM-1","itemData":{"DOI":"10.30984/nyiur.v3i1.462","abstract":"Desa Sidomulyo merupakan desa penghasil susu sapi terbesar di Kecamatan Pagerwojo Kabupaten Tulungagung yang mayoritas penduduknya bermata pencaharian sebagai peternak sapi perah. Namun pada kenyataannya masyarakat disini belum memiliki inisiatif untuk menciptakan produk olahan berbahan dasar susu sapi dan hanya menjualnya dalam kondisi mentah hal ini belum mampu memberikan kontribusi yang signifikan bagi kesejahteraan masyarakat khususnya para peternak sapi. Perlu adanya kerjasama di berbagai sektor dalam memberikan ide dan gagasan terkait produk olahan susu sapi ini, yang nantinya mampu memiliki nilai jual yang tinggi. Pengabdian ini menggunakan pendekatan ABCD, aset yang dikembangkan susu sapi. Pengabdian dilakukan melalui pelatihan pengolahan dan pembuatan produk olahan susu sapi. Kegiatan pelatihan pembuatan produk olahan susu ini diikuti secara antusias oleh para peserta yang terdiri dari perwakilan di berbagai sektor mulai dari pemerintahan, lembaga pendidikan, masyarakat, dan pemuda atau karang taruna. Dengan adanya pelatihan ini dapat meningkatkan pengetahuan dan kemampuan peserta pelatihan yang berkaitan dengan pengolahan susu, sehingga memberikan inovasi mengenai bagaimana cara mengolah susu yang memiliki nilai jual yang tinggi agar tidak hanya menjualnya dalam kondisi mentah saja yang diharapkan dapat menambah peningkatan kesejahteraan masyarakat.\r  ","author":[{"dropping-particle":"","family":"Diantoro","given":"Fery","non-dropping-particle":"","parse-names":false,"suffix":""}],"container-title":"NYIUR-Dimas: Jurnal Ilmiah Pengabdian Kepada Masyarakat","id":"ITEM-1","issue":"1","issued":{"date-parts":[["2023"]]},"page":"18-27","title":"Peningkatan Kesejahteraan Masyarakat Desa Sidomulyo Melalui Pelatihan Pembuatan Produk Olahan Susu Sapi Berbasis Kolaborasi Multisektor","type":"article-journal","volume":"3"},"uris":["http://www.mendeley.com/documents/?uuid=af9f06f4-545f-469f-b863-454315986cfb"]}],"mendeley":{"formattedCitation":"(Diantoro, 2023)","manualFormatting":"Diantoro (2023)","plainTextFormattedCitation":"(Diantoro, 2023)","previouslyFormattedCitation":"(Diantoro, 2023)"},"properties":{"noteIndex":0},"schema":"https://github.com/citation-style-language/schema/raw/master/csl-citation.json"}</w:instrText>
      </w:r>
      <w:r w:rsidR="005A3C34">
        <w:rPr>
          <w:rFonts w:ascii="Arial" w:eastAsia="Arial" w:hAnsi="Arial" w:cs="Arial"/>
          <w:color w:val="000000"/>
          <w:sz w:val="20"/>
          <w:szCs w:val="20"/>
          <w:lang w:val="de-LU"/>
        </w:rPr>
        <w:fldChar w:fldCharType="separate"/>
      </w:r>
      <w:r w:rsidR="005A3C34">
        <w:rPr>
          <w:rFonts w:ascii="Arial" w:eastAsia="Arial" w:hAnsi="Arial" w:cs="Arial"/>
          <w:noProof/>
          <w:color w:val="000000"/>
          <w:sz w:val="20"/>
          <w:szCs w:val="20"/>
          <w:lang w:val="de-LU"/>
        </w:rPr>
        <w:t>Diantoro</w:t>
      </w:r>
      <w:r>
        <w:rPr>
          <w:rFonts w:ascii="Arial" w:eastAsia="Arial" w:hAnsi="Arial" w:cs="Arial"/>
          <w:noProof/>
          <w:color w:val="000000"/>
          <w:sz w:val="20"/>
          <w:szCs w:val="20"/>
          <w:lang w:val="de-LU"/>
        </w:rPr>
        <w:t>'s</w:t>
      </w:r>
      <w:r w:rsidR="005A3C34">
        <w:rPr>
          <w:rFonts w:ascii="Arial" w:eastAsia="Arial" w:hAnsi="Arial" w:cs="Arial"/>
          <w:noProof/>
          <w:color w:val="000000"/>
          <w:sz w:val="20"/>
          <w:szCs w:val="20"/>
          <w:lang w:val="de-LU"/>
        </w:rPr>
        <w:t xml:space="preserve"> (2023)</w:t>
      </w:r>
      <w:r w:rsidR="005A3C34">
        <w:rPr>
          <w:rFonts w:ascii="Arial" w:eastAsia="Arial" w:hAnsi="Arial" w:cs="Arial"/>
          <w:color w:val="000000"/>
          <w:sz w:val="20"/>
          <w:szCs w:val="20"/>
          <w:lang w:val="de-LU"/>
        </w:rPr>
        <w:fldChar w:fldCharType="end"/>
      </w:r>
      <w:r>
        <w:rPr>
          <w:rFonts w:ascii="Arial" w:eastAsia="Arial" w:hAnsi="Arial" w:cs="Arial"/>
          <w:color w:val="000000"/>
          <w:sz w:val="20"/>
          <w:szCs w:val="20"/>
          <w:lang w:val="de-LU"/>
        </w:rPr>
        <w:t xml:space="preserve"> </w:t>
      </w:r>
      <w:r w:rsidRPr="002A01BA">
        <w:rPr>
          <w:rFonts w:ascii="Arial" w:eastAsia="Arial" w:hAnsi="Arial" w:cs="Arial"/>
          <w:color w:val="000000"/>
          <w:sz w:val="20"/>
          <w:szCs w:val="20"/>
          <w:lang w:val="de-LU"/>
        </w:rPr>
        <w:t>argument that collaboration between government institutions and communities enhances program effectiveness and improves societal welfare. Renovating homes through direct community participation, particularly through collective work, not only reduces costs but also fosters strong social solidarity.</w:t>
      </w:r>
      <w:r>
        <w:rPr>
          <w:rFonts w:ascii="Arial" w:eastAsia="Arial" w:hAnsi="Arial" w:cs="Arial"/>
          <w:color w:val="000000"/>
          <w:sz w:val="20"/>
          <w:szCs w:val="20"/>
          <w:lang w:val="de-LU"/>
        </w:rPr>
        <w:t xml:space="preserve"> </w:t>
      </w:r>
      <w:r w:rsidRPr="002A01BA">
        <w:rPr>
          <w:rFonts w:ascii="Arial" w:eastAsia="Arial" w:hAnsi="Arial" w:cs="Arial"/>
          <w:color w:val="000000"/>
          <w:sz w:val="20"/>
          <w:szCs w:val="20"/>
          <w:lang w:val="de-LU"/>
        </w:rPr>
        <w:t xml:space="preserve">As highlighted by </w:t>
      </w:r>
      <w:r>
        <w:rPr>
          <w:rFonts w:ascii="Arial" w:eastAsia="Arial" w:hAnsi="Arial" w:cs="Arial"/>
          <w:color w:val="000000"/>
          <w:sz w:val="20"/>
          <w:szCs w:val="20"/>
          <w:lang w:val="de-LU"/>
        </w:rPr>
        <w:t xml:space="preserve"> </w:t>
      </w:r>
      <w:r w:rsidR="005A3C34">
        <w:rPr>
          <w:rFonts w:ascii="Arial" w:eastAsia="Arial" w:hAnsi="Arial" w:cs="Arial"/>
          <w:color w:val="000000"/>
          <w:sz w:val="20"/>
          <w:szCs w:val="20"/>
          <w:lang w:val="de-LU"/>
        </w:rPr>
        <w:fldChar w:fldCharType="begin"/>
      </w:r>
      <w:r w:rsidR="005A3C34">
        <w:rPr>
          <w:rFonts w:ascii="Arial" w:eastAsia="Arial" w:hAnsi="Arial" w:cs="Arial"/>
          <w:color w:val="000000"/>
          <w:sz w:val="20"/>
          <w:szCs w:val="20"/>
          <w:lang w:val="de-LU"/>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Kata","author":[{"dropping-particle":"","family":"Reswara","given":"Krisna","non-dropping-particle":"","parse-names":false,"suffix":""},{"dropping-particle":"","family":"Primandhana","given":"Wiwin Priana","non-dropping-particle":"","parse-names":false,"suffix":""},{"dropping-particle":"","family":"Sishadiyati","given":"","non-dropping-particle":"","parse-names":false,"suffix":""}],"container-title":"Jurnal Ilmiah Wahana Pendidikan","id":"ITEM-1","issue":"19","issued":{"date-parts":[["2024"]]},"title":"Peran Masyarakat Dalam Mengikuti Program Bantuan Stimulan Perumahan Swadaya (BSPS) Guna Meningkatkan Kesejahteraan Di Desa Mlati Kabupaten Pacitan","type":"article-journal","volume":"10"},"uris":["http://www.mendeley.com/documents/?uuid=7715b446-c2c8-4e47-beec-bd5c884457c9"]}],"mendeley":{"formattedCitation":"(Reswara, Primandhana, &amp; Sishadiyati, 2024)","manualFormatting":"Reswara et al. (2024)","plainTextFormattedCitation":"(Reswara, Primandhana, &amp; Sishadiyati, 2024)","previouslyFormattedCitation":"(Reswara et al., 2024)"},"properties":{"noteIndex":0},"schema":"https://github.com/citation-style-language/schema/raw/master/csl-citation.json"}</w:instrText>
      </w:r>
      <w:r w:rsidR="005A3C34">
        <w:rPr>
          <w:rFonts w:ascii="Arial" w:eastAsia="Arial" w:hAnsi="Arial" w:cs="Arial"/>
          <w:color w:val="000000"/>
          <w:sz w:val="20"/>
          <w:szCs w:val="20"/>
          <w:lang w:val="de-LU"/>
        </w:rPr>
        <w:fldChar w:fldCharType="separate"/>
      </w:r>
      <w:r w:rsidR="005A3C34">
        <w:rPr>
          <w:rFonts w:ascii="Arial" w:eastAsia="Arial" w:hAnsi="Arial" w:cs="Arial"/>
          <w:noProof/>
          <w:color w:val="000000"/>
          <w:sz w:val="20"/>
          <w:szCs w:val="20"/>
          <w:lang w:val="de-LU"/>
        </w:rPr>
        <w:t>Reswara et al. (2024)</w:t>
      </w:r>
      <w:r w:rsidR="005A3C34">
        <w:rPr>
          <w:rFonts w:ascii="Arial" w:eastAsia="Arial" w:hAnsi="Arial" w:cs="Arial"/>
          <w:color w:val="000000"/>
          <w:sz w:val="20"/>
          <w:szCs w:val="20"/>
          <w:lang w:val="de-LU"/>
        </w:rPr>
        <w:fldChar w:fldCharType="end"/>
      </w:r>
      <w:r w:rsidR="005A3C34">
        <w:rPr>
          <w:rFonts w:ascii="Arial" w:eastAsia="Arial" w:hAnsi="Arial" w:cs="Arial"/>
          <w:color w:val="000000"/>
          <w:sz w:val="20"/>
          <w:szCs w:val="20"/>
          <w:lang w:val="de-LU"/>
        </w:rPr>
        <w:t xml:space="preserve">, </w:t>
      </w:r>
      <w:r w:rsidRPr="002A01BA">
        <w:rPr>
          <w:rFonts w:ascii="Arial" w:eastAsia="Arial" w:hAnsi="Arial" w:cs="Arial"/>
          <w:color w:val="000000"/>
          <w:sz w:val="20"/>
          <w:szCs w:val="20"/>
          <w:lang w:val="de-LU"/>
        </w:rPr>
        <w:t>the implementation of the BSPS program in Mlati Village, Pacitan Regency, shows that involving residents in building their own homes enhances their sense of ownership and responsibility toward their living environment. In some cases, such activities are even perceived as forms of social worship, consistent with the Islamic spirit that regards human developm</w:t>
      </w:r>
      <w:r>
        <w:rPr>
          <w:rFonts w:ascii="Arial" w:eastAsia="Arial" w:hAnsi="Arial" w:cs="Arial"/>
          <w:color w:val="000000"/>
          <w:sz w:val="20"/>
          <w:szCs w:val="20"/>
          <w:lang w:val="de-LU"/>
        </w:rPr>
        <w:t>ent as part of servitude to God</w:t>
      </w:r>
      <w:r w:rsidR="005A3C34">
        <w:rPr>
          <w:rFonts w:ascii="Arial" w:eastAsia="Arial" w:hAnsi="Arial" w:cs="Arial"/>
          <w:color w:val="000000"/>
          <w:sz w:val="20"/>
          <w:szCs w:val="20"/>
          <w:lang w:val="de-LU"/>
        </w:rPr>
        <w:t xml:space="preserve">. </w:t>
      </w:r>
      <w:r w:rsidRPr="002A01BA">
        <w:rPr>
          <w:rFonts w:ascii="Arial" w:eastAsia="Arial" w:hAnsi="Arial" w:cs="Arial"/>
          <w:color w:val="000000"/>
          <w:sz w:val="20"/>
          <w:szCs w:val="20"/>
          <w:lang w:val="de-LU"/>
        </w:rPr>
        <w:t xml:space="preserve">Research </w:t>
      </w:r>
      <w:r w:rsidR="005A3C34">
        <w:rPr>
          <w:rFonts w:ascii="Arial" w:eastAsia="Arial" w:hAnsi="Arial" w:cs="Arial"/>
          <w:color w:val="000000"/>
          <w:sz w:val="20"/>
          <w:szCs w:val="20"/>
          <w:lang w:val="de-LU"/>
        </w:rPr>
        <w:fldChar w:fldCharType="begin"/>
      </w:r>
      <w:r w:rsidR="005A3C34">
        <w:rPr>
          <w:rFonts w:ascii="Arial" w:eastAsia="Arial" w:hAnsi="Arial" w:cs="Arial"/>
          <w:color w:val="000000"/>
          <w:sz w:val="20"/>
          <w:szCs w:val="20"/>
          <w:lang w:val="de-LU"/>
        </w:rPr>
        <w:instrText>ADDIN CSL_CITATION {"citationItems":[{"id":"ITEM-1","itemData":{"author":[{"dropping-particle":"","family":"Nuryanto","given":"Uli Wildan","non-dropping-particle":"","parse-names":false,"suffix":""},{"dropping-particle":"","family":"Munawir","given":"Ahmad","non-dropping-particle":"","parse-names":false,"suffix":""},{"dropping-particle":"","family":"Barsowi","given":"","non-dropping-particle":"","parse-names":false,"suffix":""}],"container-title":"Batara Wisnu Journal: Indonesian Journal of Community Service","id":"ITEM-1","issue":"2","issued":{"date-parts":[["2023"]]},"page":"352-360","title":"Pemberdayaan Masyarakat Perumahan dalam Upaya Meningkatkan Pengetahuan Keagamaan","type":"article-journal","volume":"3"},"uris":["http://www.mendeley.com/documents/?uuid=808b57f4-04ea-455f-94dc-22e0534471ce"]}],"mendeley":{"formattedCitation":"(Nuryanto, Munawir, &amp; Barsowi, 2023)","manualFormatting":"Nuryanto et al. (2023)","plainTextFormattedCitation":"(Nuryanto, Munawir, &amp; Barsowi, 2023)","previouslyFormattedCitation":"(Nuryanto et al., 2023)"},"properties":{"noteIndex":0},"schema":"https://github.com/citation-style-language/schema/raw/master/csl-citation.json"}</w:instrText>
      </w:r>
      <w:r w:rsidR="005A3C34">
        <w:rPr>
          <w:rFonts w:ascii="Arial" w:eastAsia="Arial" w:hAnsi="Arial" w:cs="Arial"/>
          <w:color w:val="000000"/>
          <w:sz w:val="20"/>
          <w:szCs w:val="20"/>
          <w:lang w:val="de-LU"/>
        </w:rPr>
        <w:fldChar w:fldCharType="separate"/>
      </w:r>
      <w:r w:rsidR="005A3C34">
        <w:rPr>
          <w:rFonts w:ascii="Arial" w:eastAsia="Arial" w:hAnsi="Arial" w:cs="Arial"/>
          <w:noProof/>
          <w:color w:val="000000"/>
          <w:sz w:val="20"/>
          <w:szCs w:val="20"/>
          <w:lang w:val="de-LU"/>
        </w:rPr>
        <w:t>Nuryanto et al. (2023)</w:t>
      </w:r>
      <w:r w:rsidR="005A3C34">
        <w:rPr>
          <w:rFonts w:ascii="Arial" w:eastAsia="Arial" w:hAnsi="Arial" w:cs="Arial"/>
          <w:color w:val="000000"/>
          <w:sz w:val="20"/>
          <w:szCs w:val="20"/>
          <w:lang w:val="de-LU"/>
        </w:rPr>
        <w:fldChar w:fldCharType="end"/>
      </w:r>
      <w:r w:rsidR="005A3C34">
        <w:rPr>
          <w:rFonts w:ascii="Arial" w:eastAsia="Arial" w:hAnsi="Arial" w:cs="Arial"/>
          <w:color w:val="000000"/>
          <w:sz w:val="20"/>
          <w:szCs w:val="20"/>
          <w:lang w:val="de-LU"/>
        </w:rPr>
        <w:t xml:space="preserve"> </w:t>
      </w:r>
      <w:r w:rsidRPr="002A01BA">
        <w:rPr>
          <w:rFonts w:ascii="Arial" w:eastAsia="Arial" w:hAnsi="Arial" w:cs="Arial"/>
          <w:color w:val="000000"/>
          <w:sz w:val="20"/>
          <w:szCs w:val="20"/>
          <w:lang w:val="de-LU"/>
        </w:rPr>
        <w:t xml:space="preserve">indicates that empowering residential </w:t>
      </w:r>
      <w:r w:rsidRPr="002A01BA">
        <w:rPr>
          <w:rFonts w:ascii="Arial" w:eastAsia="Arial" w:hAnsi="Arial" w:cs="Arial"/>
          <w:color w:val="000000"/>
          <w:sz w:val="20"/>
          <w:szCs w:val="20"/>
          <w:lang w:val="de-LU"/>
        </w:rPr>
        <w:lastRenderedPageBreak/>
        <w:t>communities by enhancing their religious knowledge can strengthen both religious culture and social solidarity within neighborhoods.</w:t>
      </w:r>
    </w:p>
    <w:p w:rsidR="002A01BA" w:rsidRDefault="002A01BA"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de-LU"/>
        </w:rPr>
      </w:pPr>
      <w:r w:rsidRPr="002A01BA">
        <w:rPr>
          <w:rFonts w:ascii="Arial" w:eastAsia="Arial" w:hAnsi="Arial" w:cs="Arial"/>
          <w:color w:val="000000"/>
          <w:sz w:val="20"/>
          <w:szCs w:val="20"/>
          <w:lang w:val="de-LU"/>
        </w:rPr>
        <w:t xml:space="preserve">From the perspective of </w:t>
      </w:r>
      <w:r w:rsidR="009D4016" w:rsidRPr="009D4016">
        <w:rPr>
          <w:rFonts w:ascii="Arial" w:eastAsia="Arial" w:hAnsi="Arial" w:cs="Arial"/>
          <w:i/>
          <w:color w:val="000000"/>
          <w:sz w:val="20"/>
          <w:szCs w:val="20"/>
          <w:lang w:val="de-LU"/>
        </w:rPr>
        <w:t>maqashid sharia</w:t>
      </w:r>
      <w:r w:rsidRPr="002A01BA">
        <w:rPr>
          <w:rFonts w:ascii="Arial" w:eastAsia="Arial" w:hAnsi="Arial" w:cs="Arial"/>
          <w:color w:val="000000"/>
          <w:sz w:val="20"/>
          <w:szCs w:val="20"/>
          <w:lang w:val="de-LU"/>
        </w:rPr>
        <w:t>, adequate housing serves as a means to protect life (</w:t>
      </w:r>
      <w:r w:rsidR="009D4016" w:rsidRPr="009D4016">
        <w:rPr>
          <w:rFonts w:ascii="Arial" w:eastAsia="Arial" w:hAnsi="Arial" w:cs="Arial"/>
          <w:i/>
          <w:color w:val="000000"/>
          <w:sz w:val="20"/>
          <w:szCs w:val="20"/>
          <w:lang w:val="de-LU"/>
        </w:rPr>
        <w:t>hifz al-nafs</w:t>
      </w:r>
      <w:r w:rsidR="009D4016">
        <w:rPr>
          <w:rFonts w:ascii="Arial" w:eastAsia="Arial" w:hAnsi="Arial" w:cs="Arial"/>
          <w:color w:val="000000"/>
          <w:sz w:val="20"/>
          <w:szCs w:val="20"/>
          <w:lang w:val="de-LU"/>
        </w:rPr>
        <w:t>), property (</w:t>
      </w:r>
      <w:r w:rsidR="009D4016" w:rsidRPr="009D4016">
        <w:rPr>
          <w:rFonts w:ascii="Arial" w:eastAsia="Arial" w:hAnsi="Arial" w:cs="Arial"/>
          <w:i/>
          <w:color w:val="000000"/>
          <w:sz w:val="20"/>
          <w:szCs w:val="20"/>
          <w:lang w:val="de-LU"/>
        </w:rPr>
        <w:t>hifz al-mal</w:t>
      </w:r>
      <w:r w:rsidRPr="002A01BA">
        <w:rPr>
          <w:rFonts w:ascii="Arial" w:eastAsia="Arial" w:hAnsi="Arial" w:cs="Arial"/>
          <w:color w:val="000000"/>
          <w:sz w:val="20"/>
          <w:szCs w:val="20"/>
          <w:lang w:val="de-LU"/>
        </w:rPr>
        <w:t>), and lineage (</w:t>
      </w:r>
      <w:r w:rsidR="009D4016" w:rsidRPr="009D4016">
        <w:rPr>
          <w:rFonts w:ascii="Arial" w:eastAsia="Arial" w:hAnsi="Arial" w:cs="Arial"/>
          <w:i/>
          <w:color w:val="000000"/>
          <w:sz w:val="20"/>
          <w:szCs w:val="20"/>
          <w:lang w:val="de-LU"/>
        </w:rPr>
        <w:t>hifz al-nasl</w:t>
      </w:r>
      <w:r w:rsidRPr="002A01BA">
        <w:rPr>
          <w:rFonts w:ascii="Arial" w:eastAsia="Arial" w:hAnsi="Arial" w:cs="Arial"/>
          <w:color w:val="000000"/>
          <w:sz w:val="20"/>
          <w:szCs w:val="20"/>
          <w:lang w:val="de-LU"/>
        </w:rPr>
        <w:t>), as outlined by</w:t>
      </w:r>
      <w:r>
        <w:rPr>
          <w:rFonts w:ascii="Arial" w:eastAsia="Arial" w:hAnsi="Arial" w:cs="Arial"/>
          <w:color w:val="000000"/>
          <w:sz w:val="20"/>
          <w:szCs w:val="20"/>
          <w:lang w:val="de-LU"/>
        </w:rPr>
        <w:t xml:space="preserve"> </w:t>
      </w:r>
      <w:r w:rsidR="005A3C34">
        <w:rPr>
          <w:rFonts w:ascii="Arial" w:eastAsia="Arial" w:hAnsi="Arial" w:cs="Arial"/>
          <w:color w:val="000000"/>
          <w:sz w:val="20"/>
          <w:szCs w:val="20"/>
          <w:lang w:val="de-LU"/>
        </w:rPr>
        <w:fldChar w:fldCharType="begin"/>
      </w:r>
      <w:r w:rsidR="005A3C34">
        <w:rPr>
          <w:rFonts w:ascii="Arial" w:eastAsia="Arial" w:hAnsi="Arial" w:cs="Arial"/>
          <w:color w:val="000000"/>
          <w:sz w:val="20"/>
          <w:szCs w:val="20"/>
          <w:lang w:val="de-LU"/>
        </w:rPr>
        <w:instrText>ADDIN CSL_CITATION {"citationItems":[{"id":"ITEM-1","itemData":{"author":[{"dropping-particle":"","family":"Auda","given":"Jasser","non-dropping-particle":"","parse-names":false,"suffix":""}],"id":"ITEM-1","issued":{"date-parts":[["2008"]]},"publisher":"Biddles Limited","publisher-place":"United Kingdom","title":"Maqasid al-Shariah as Philosophy of Islamic Law: A Systems Approach","type":"book"},"uris":["http://www.mendeley.com/documents/?uuid=48deb275-5ea0-4006-a1e3-9fc7b516128b"]}],"mendeley":{"formattedCitation":"(Auda, 2008)","manualFormatting":"Auda (2008)","plainTextFormattedCitation":"(Auda, 2008)","previouslyFormattedCitation":"(Auda, 2008)"},"properties":{"noteIndex":0},"schema":"https://github.com/citation-style-language/schema/raw/master/csl-citation.json"}</w:instrText>
      </w:r>
      <w:r w:rsidR="005A3C34">
        <w:rPr>
          <w:rFonts w:ascii="Arial" w:eastAsia="Arial" w:hAnsi="Arial" w:cs="Arial"/>
          <w:color w:val="000000"/>
          <w:sz w:val="20"/>
          <w:szCs w:val="20"/>
          <w:lang w:val="de-LU"/>
        </w:rPr>
        <w:fldChar w:fldCharType="separate"/>
      </w:r>
      <w:r w:rsidR="005A3C34">
        <w:rPr>
          <w:rFonts w:ascii="Arial" w:eastAsia="Arial" w:hAnsi="Arial" w:cs="Arial"/>
          <w:noProof/>
          <w:color w:val="000000"/>
          <w:sz w:val="20"/>
          <w:szCs w:val="20"/>
          <w:lang w:val="de-LU"/>
        </w:rPr>
        <w:t>Auda (2008)</w:t>
      </w:r>
      <w:r w:rsidR="005A3C34">
        <w:rPr>
          <w:rFonts w:ascii="Arial" w:eastAsia="Arial" w:hAnsi="Arial" w:cs="Arial"/>
          <w:color w:val="000000"/>
          <w:sz w:val="20"/>
          <w:szCs w:val="20"/>
          <w:lang w:val="de-LU"/>
        </w:rPr>
        <w:fldChar w:fldCharType="end"/>
      </w:r>
      <w:r>
        <w:rPr>
          <w:rFonts w:ascii="Arial" w:eastAsia="Arial" w:hAnsi="Arial" w:cs="Arial"/>
          <w:color w:val="000000"/>
          <w:sz w:val="20"/>
          <w:szCs w:val="20"/>
          <w:lang w:val="de-LU"/>
        </w:rPr>
        <w:t xml:space="preserve"> </w:t>
      </w:r>
      <w:r w:rsidR="005A3C34">
        <w:rPr>
          <w:rFonts w:ascii="Arial" w:eastAsia="Arial" w:hAnsi="Arial" w:cs="Arial"/>
          <w:color w:val="000000"/>
          <w:sz w:val="20"/>
          <w:szCs w:val="20"/>
          <w:lang w:val="de-LU"/>
        </w:rPr>
        <w:t xml:space="preserve"> </w:t>
      </w:r>
      <w:r w:rsidRPr="002A01BA">
        <w:rPr>
          <w:rFonts w:ascii="Arial" w:eastAsia="Arial" w:hAnsi="Arial" w:cs="Arial"/>
          <w:color w:val="000000"/>
          <w:sz w:val="20"/>
          <w:szCs w:val="20"/>
          <w:lang w:val="de-LU"/>
        </w:rPr>
        <w:t xml:space="preserve">in </w:t>
      </w:r>
      <w:r w:rsidRPr="009D4016">
        <w:rPr>
          <w:rFonts w:ascii="Arial" w:eastAsia="Arial" w:hAnsi="Arial" w:cs="Arial"/>
          <w:i/>
          <w:color w:val="000000"/>
          <w:sz w:val="20"/>
          <w:szCs w:val="20"/>
          <w:lang w:val="de-LU"/>
        </w:rPr>
        <w:t xml:space="preserve">Maqasid al-Shariah </w:t>
      </w:r>
      <w:r w:rsidR="009D4016">
        <w:rPr>
          <w:rFonts w:ascii="Arial" w:eastAsia="Arial" w:hAnsi="Arial" w:cs="Arial"/>
          <w:i/>
          <w:color w:val="000000"/>
          <w:sz w:val="20"/>
          <w:szCs w:val="20"/>
          <w:lang w:val="de-LU"/>
        </w:rPr>
        <w:t>as Philosophy of Islamic Law</w:t>
      </w:r>
      <w:r w:rsidRPr="002A01BA">
        <w:rPr>
          <w:rFonts w:ascii="Arial" w:eastAsia="Arial" w:hAnsi="Arial" w:cs="Arial"/>
          <w:color w:val="000000"/>
          <w:sz w:val="20"/>
          <w:szCs w:val="20"/>
          <w:lang w:val="de-LU"/>
        </w:rPr>
        <w:t>. This perspective reinforces the argument that RTLH programs should not be viewed solely as technical infrastructure projects but as pathways to realizing social justice and comprehensive community welfare. Development approaches grounded in Islamic values have also been shown to enhance community ownership of programs and to promote the sustainability of intervention outcomes. When communities perceive that the program aligns with their deeply held values, participation becomes more meaningful and sustainable.</w:t>
      </w:r>
      <w:r>
        <w:rPr>
          <w:rFonts w:ascii="Arial" w:eastAsia="Arial" w:hAnsi="Arial" w:cs="Arial"/>
          <w:color w:val="000000"/>
          <w:sz w:val="20"/>
          <w:szCs w:val="20"/>
          <w:lang w:val="de-LU"/>
        </w:rPr>
        <w:t xml:space="preserve"> </w:t>
      </w:r>
    </w:p>
    <w:p w:rsidR="00E52122" w:rsidRDefault="002A01BA"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de-LU"/>
        </w:rPr>
      </w:pPr>
      <w:r w:rsidRPr="002A01BA">
        <w:rPr>
          <w:rFonts w:ascii="Arial" w:eastAsia="Arial" w:hAnsi="Arial" w:cs="Arial"/>
          <w:color w:val="000000"/>
          <w:sz w:val="20"/>
          <w:szCs w:val="20"/>
          <w:lang w:val="de-LU"/>
        </w:rPr>
        <w:t>Strategies for addressing uninhabitable housing in Pacitan Regency must therefore be developed by integrating value-based empowerment approaches. Such approaches encompass not only technical and physical aspects of housing but also the social, cultural, and spiritual dimensions of the community. Development models of this kind not only resolve the physical aspects of inadequate housing but also foster self-reliant, empowered communities with a strong sense of collective awareness. Thus, the RTLH program does not end as a mere infrastructure project but evolves into a social movement capable of driving societal transformation toward a more prosperous, just, and dignified life, in accorda</w:t>
      </w:r>
      <w:r w:rsidR="009D4016">
        <w:rPr>
          <w:rFonts w:ascii="Arial" w:eastAsia="Arial" w:hAnsi="Arial" w:cs="Arial"/>
          <w:color w:val="000000"/>
          <w:sz w:val="20"/>
          <w:szCs w:val="20"/>
          <w:lang w:val="de-LU"/>
        </w:rPr>
        <w:t xml:space="preserve">nce with the Islamic values of </w:t>
      </w:r>
      <w:r w:rsidRPr="009D4016">
        <w:rPr>
          <w:rFonts w:ascii="Arial" w:eastAsia="Arial" w:hAnsi="Arial" w:cs="Arial"/>
          <w:i/>
          <w:color w:val="000000"/>
          <w:sz w:val="20"/>
          <w:szCs w:val="20"/>
          <w:lang w:val="de-LU"/>
        </w:rPr>
        <w:t>rahmata</w:t>
      </w:r>
      <w:r w:rsidR="009D4016" w:rsidRPr="009D4016">
        <w:rPr>
          <w:rFonts w:ascii="Arial" w:eastAsia="Arial" w:hAnsi="Arial" w:cs="Arial"/>
          <w:i/>
          <w:color w:val="000000"/>
          <w:sz w:val="20"/>
          <w:szCs w:val="20"/>
          <w:lang w:val="de-LU"/>
        </w:rPr>
        <w:t>n lil ‘alamin</w:t>
      </w:r>
      <w:r w:rsidRPr="002A01BA">
        <w:rPr>
          <w:rFonts w:ascii="Arial" w:eastAsia="Arial" w:hAnsi="Arial" w:cs="Arial"/>
          <w:color w:val="000000"/>
          <w:sz w:val="20"/>
          <w:szCs w:val="20"/>
          <w:lang w:val="de-LU"/>
        </w:rPr>
        <w:t xml:space="preserve"> (a blessing for all creation). The implementation of the BSPS program requires comprehensive strategies, including community capacity building and the integration of Islamic values at every stage of the program. Accordingly, the Islamic community empowerment approach in the housing renovation program in Pacitan Regency demonstrates that integrating Islamic values with active community participation can enhance program effectiveness and generate sustainable impacts on community welfare.</w:t>
      </w:r>
      <w:r>
        <w:rPr>
          <w:rFonts w:ascii="Arial" w:eastAsia="Arial" w:hAnsi="Arial" w:cs="Arial"/>
          <w:color w:val="000000"/>
          <w:sz w:val="20"/>
          <w:szCs w:val="20"/>
          <w:lang w:val="de-LU"/>
        </w:rPr>
        <w:t xml:space="preserve"> </w:t>
      </w:r>
    </w:p>
    <w:p w:rsidR="00E52122" w:rsidRDefault="00E52122" w:rsidP="004F3CA5">
      <w:pPr>
        <w:pBdr>
          <w:top w:val="nil"/>
          <w:left w:val="nil"/>
          <w:bottom w:val="nil"/>
          <w:right w:val="nil"/>
          <w:between w:val="nil"/>
        </w:pBdr>
        <w:spacing w:after="240" w:line="480" w:lineRule="auto"/>
        <w:jc w:val="both"/>
        <w:rPr>
          <w:rFonts w:ascii="Arial" w:eastAsia="Arial" w:hAnsi="Arial" w:cs="Arial"/>
          <w:color w:val="000000"/>
          <w:sz w:val="20"/>
          <w:szCs w:val="20"/>
          <w:lang w:val="de-LU"/>
        </w:rPr>
      </w:pPr>
    </w:p>
    <w:p w:rsidR="00E52122" w:rsidRDefault="00191B21" w:rsidP="004F3CA5">
      <w:pPr>
        <w:numPr>
          <w:ilvl w:val="0"/>
          <w:numId w:val="2"/>
        </w:numPr>
        <w:pBdr>
          <w:top w:val="nil"/>
          <w:left w:val="nil"/>
          <w:bottom w:val="nil"/>
          <w:right w:val="nil"/>
          <w:between w:val="nil"/>
        </w:pBdr>
        <w:spacing w:before="240" w:after="120" w:line="480" w:lineRule="auto"/>
        <w:ind w:left="0"/>
        <w:rPr>
          <w:rFonts w:ascii="Arial" w:eastAsia="Arial" w:hAnsi="Arial" w:cs="Arial"/>
          <w:b/>
          <w:color w:val="000000"/>
          <w:sz w:val="20"/>
          <w:szCs w:val="20"/>
        </w:rPr>
      </w:pPr>
      <w:r>
        <w:rPr>
          <w:rFonts w:ascii="Arial" w:eastAsia="Arial" w:hAnsi="Arial" w:cs="Arial"/>
          <w:b/>
          <w:color w:val="000000"/>
          <w:sz w:val="20"/>
          <w:szCs w:val="20"/>
        </w:rPr>
        <w:t>Conclusio</w:t>
      </w:r>
      <w:r w:rsidR="002A01BA">
        <w:rPr>
          <w:rFonts w:ascii="Arial" w:eastAsia="Arial" w:hAnsi="Arial" w:cs="Arial"/>
          <w:b/>
          <w:color w:val="000000"/>
          <w:sz w:val="20"/>
          <w:szCs w:val="20"/>
        </w:rPr>
        <w:t>n</w:t>
      </w:r>
    </w:p>
    <w:p w:rsidR="00C3009A" w:rsidRDefault="00C3009A"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en-ID"/>
        </w:rPr>
      </w:pPr>
      <w:r w:rsidRPr="00C3009A">
        <w:rPr>
          <w:rFonts w:ascii="Arial" w:eastAsia="Arial" w:hAnsi="Arial" w:cs="Arial"/>
          <w:color w:val="000000"/>
          <w:sz w:val="20"/>
          <w:szCs w:val="20"/>
          <w:lang w:val="en-ID"/>
        </w:rPr>
        <w:lastRenderedPageBreak/>
        <w:t xml:space="preserve">The housing renovation program in </w:t>
      </w:r>
      <w:proofErr w:type="spellStart"/>
      <w:r w:rsidRPr="00C3009A">
        <w:rPr>
          <w:rFonts w:ascii="Arial" w:eastAsia="Arial" w:hAnsi="Arial" w:cs="Arial"/>
          <w:color w:val="000000"/>
          <w:sz w:val="20"/>
          <w:szCs w:val="20"/>
          <w:lang w:val="en-ID"/>
        </w:rPr>
        <w:t>Donorojo</w:t>
      </w:r>
      <w:proofErr w:type="spellEnd"/>
      <w:r w:rsidRPr="00C3009A">
        <w:rPr>
          <w:rFonts w:ascii="Arial" w:eastAsia="Arial" w:hAnsi="Arial" w:cs="Arial"/>
          <w:color w:val="000000"/>
          <w:sz w:val="20"/>
          <w:szCs w:val="20"/>
          <w:lang w:val="en-ID"/>
        </w:rPr>
        <w:t xml:space="preserve"> District, </w:t>
      </w:r>
      <w:proofErr w:type="spellStart"/>
      <w:r w:rsidRPr="00C3009A">
        <w:rPr>
          <w:rFonts w:ascii="Arial" w:eastAsia="Arial" w:hAnsi="Arial" w:cs="Arial"/>
          <w:color w:val="000000"/>
          <w:sz w:val="20"/>
          <w:szCs w:val="20"/>
          <w:lang w:val="en-ID"/>
        </w:rPr>
        <w:t>Pacitan</w:t>
      </w:r>
      <w:proofErr w:type="spellEnd"/>
      <w:r w:rsidRPr="00C3009A">
        <w:rPr>
          <w:rFonts w:ascii="Arial" w:eastAsia="Arial" w:hAnsi="Arial" w:cs="Arial"/>
          <w:color w:val="000000"/>
          <w:sz w:val="20"/>
          <w:szCs w:val="20"/>
          <w:lang w:val="en-ID"/>
        </w:rPr>
        <w:t xml:space="preserve"> Regency, has successfully improved the quality of life for impoverished communities by creating a healthy and decent living environment. The improvement of housing conditions has had a positive impact on residents’ health, psychological well-being, and spiritual life, while simultaneously fostering Islamic social values such as </w:t>
      </w:r>
      <w:proofErr w:type="spellStart"/>
      <w:r w:rsidRPr="00C3009A">
        <w:rPr>
          <w:rFonts w:ascii="Arial" w:eastAsia="Arial" w:hAnsi="Arial" w:cs="Arial"/>
          <w:i/>
          <w:color w:val="000000"/>
          <w:sz w:val="20"/>
          <w:szCs w:val="20"/>
          <w:lang w:val="en-ID"/>
        </w:rPr>
        <w:t>ta’awun</w:t>
      </w:r>
      <w:proofErr w:type="spellEnd"/>
      <w:r w:rsidRPr="00C3009A">
        <w:rPr>
          <w:rFonts w:ascii="Arial" w:eastAsia="Arial" w:hAnsi="Arial" w:cs="Arial"/>
          <w:color w:val="000000"/>
          <w:sz w:val="20"/>
          <w:szCs w:val="20"/>
          <w:lang w:val="en-ID"/>
        </w:rPr>
        <w:t xml:space="preserve"> (mutual assistance) and </w:t>
      </w:r>
      <w:r w:rsidRPr="00C3009A">
        <w:rPr>
          <w:rFonts w:ascii="Arial" w:eastAsia="Arial" w:hAnsi="Arial" w:cs="Arial"/>
          <w:i/>
          <w:color w:val="000000"/>
          <w:sz w:val="20"/>
          <w:szCs w:val="20"/>
          <w:lang w:val="en-ID"/>
        </w:rPr>
        <w:t>ukhuwah</w:t>
      </w:r>
      <w:r w:rsidRPr="00C3009A">
        <w:rPr>
          <w:rFonts w:ascii="Arial" w:eastAsia="Arial" w:hAnsi="Arial" w:cs="Arial"/>
          <w:color w:val="000000"/>
          <w:sz w:val="20"/>
          <w:szCs w:val="20"/>
          <w:lang w:val="en-ID"/>
        </w:rPr>
        <w:t xml:space="preserve"> (brotherhood). The participatory approach, which actively involves the community, BAZNAS, and the Indonesian National Armed Forces (TNI), has been a key factor in the success of this program, which also aligns with the principles of </w:t>
      </w:r>
      <w:proofErr w:type="spellStart"/>
      <w:r w:rsidR="009D4016" w:rsidRPr="009D4016">
        <w:rPr>
          <w:rFonts w:ascii="Arial" w:eastAsia="Arial" w:hAnsi="Arial" w:cs="Arial"/>
          <w:i/>
          <w:color w:val="000000"/>
          <w:sz w:val="20"/>
          <w:szCs w:val="20"/>
          <w:lang w:val="en-ID"/>
        </w:rPr>
        <w:t>maqashid</w:t>
      </w:r>
      <w:proofErr w:type="spellEnd"/>
      <w:r w:rsidR="009D4016" w:rsidRPr="009D4016">
        <w:rPr>
          <w:rFonts w:ascii="Arial" w:eastAsia="Arial" w:hAnsi="Arial" w:cs="Arial"/>
          <w:i/>
          <w:color w:val="000000"/>
          <w:sz w:val="20"/>
          <w:szCs w:val="20"/>
          <w:lang w:val="en-ID"/>
        </w:rPr>
        <w:t xml:space="preserve"> sharia</w:t>
      </w:r>
      <w:r w:rsidRPr="00C3009A">
        <w:rPr>
          <w:rFonts w:ascii="Arial" w:eastAsia="Arial" w:hAnsi="Arial" w:cs="Arial"/>
          <w:color w:val="000000"/>
          <w:sz w:val="20"/>
          <w:szCs w:val="20"/>
          <w:lang w:val="en-ID"/>
        </w:rPr>
        <w:t xml:space="preserve"> by supporting the protection of life (</w:t>
      </w:r>
      <w:proofErr w:type="spellStart"/>
      <w:r w:rsidR="009D4016" w:rsidRPr="009D4016">
        <w:rPr>
          <w:rFonts w:ascii="Arial" w:eastAsia="Arial" w:hAnsi="Arial" w:cs="Arial"/>
          <w:i/>
          <w:color w:val="000000"/>
          <w:sz w:val="20"/>
          <w:szCs w:val="20"/>
          <w:lang w:val="en-ID"/>
        </w:rPr>
        <w:t>hifz</w:t>
      </w:r>
      <w:proofErr w:type="spellEnd"/>
      <w:r w:rsidR="009D4016" w:rsidRPr="009D4016">
        <w:rPr>
          <w:rFonts w:ascii="Arial" w:eastAsia="Arial" w:hAnsi="Arial" w:cs="Arial"/>
          <w:i/>
          <w:color w:val="000000"/>
          <w:sz w:val="20"/>
          <w:szCs w:val="20"/>
          <w:lang w:val="en-ID"/>
        </w:rPr>
        <w:t xml:space="preserve"> al-</w:t>
      </w:r>
      <w:proofErr w:type="spellStart"/>
      <w:r w:rsidR="009D4016" w:rsidRPr="009D4016">
        <w:rPr>
          <w:rFonts w:ascii="Arial" w:eastAsia="Arial" w:hAnsi="Arial" w:cs="Arial"/>
          <w:i/>
          <w:color w:val="000000"/>
          <w:sz w:val="20"/>
          <w:szCs w:val="20"/>
          <w:lang w:val="en-ID"/>
        </w:rPr>
        <w:t>nafs</w:t>
      </w:r>
      <w:proofErr w:type="spellEnd"/>
      <w:r w:rsidR="009D4016">
        <w:rPr>
          <w:rFonts w:ascii="Arial" w:eastAsia="Arial" w:hAnsi="Arial" w:cs="Arial"/>
          <w:color w:val="000000"/>
          <w:sz w:val="20"/>
          <w:szCs w:val="20"/>
          <w:lang w:val="en-ID"/>
        </w:rPr>
        <w:t>), property (</w:t>
      </w:r>
      <w:proofErr w:type="spellStart"/>
      <w:r w:rsidR="009D4016" w:rsidRPr="009D4016">
        <w:rPr>
          <w:rFonts w:ascii="Arial" w:eastAsia="Arial" w:hAnsi="Arial" w:cs="Arial"/>
          <w:i/>
          <w:color w:val="000000"/>
          <w:sz w:val="20"/>
          <w:szCs w:val="20"/>
          <w:lang w:val="en-ID"/>
        </w:rPr>
        <w:t>hifz</w:t>
      </w:r>
      <w:proofErr w:type="spellEnd"/>
      <w:r w:rsidR="009D4016" w:rsidRPr="009D4016">
        <w:rPr>
          <w:rFonts w:ascii="Arial" w:eastAsia="Arial" w:hAnsi="Arial" w:cs="Arial"/>
          <w:i/>
          <w:color w:val="000000"/>
          <w:sz w:val="20"/>
          <w:szCs w:val="20"/>
          <w:lang w:val="en-ID"/>
        </w:rPr>
        <w:t xml:space="preserve"> al-mal</w:t>
      </w:r>
      <w:r w:rsidRPr="00C3009A">
        <w:rPr>
          <w:rFonts w:ascii="Arial" w:eastAsia="Arial" w:hAnsi="Arial" w:cs="Arial"/>
          <w:color w:val="000000"/>
          <w:sz w:val="20"/>
          <w:szCs w:val="20"/>
          <w:lang w:val="en-ID"/>
        </w:rPr>
        <w:t>)</w:t>
      </w:r>
      <w:r>
        <w:rPr>
          <w:rFonts w:ascii="Arial" w:eastAsia="Arial" w:hAnsi="Arial" w:cs="Arial"/>
          <w:color w:val="000000"/>
          <w:sz w:val="20"/>
          <w:szCs w:val="20"/>
          <w:lang w:val="en-ID"/>
        </w:rPr>
        <w:t>, and lineage (</w:t>
      </w:r>
      <w:proofErr w:type="spellStart"/>
      <w:r w:rsidR="009D4016" w:rsidRPr="009D4016">
        <w:rPr>
          <w:rFonts w:ascii="Arial" w:eastAsia="Arial" w:hAnsi="Arial" w:cs="Arial"/>
          <w:i/>
          <w:color w:val="000000"/>
          <w:sz w:val="20"/>
          <w:szCs w:val="20"/>
          <w:lang w:val="en-ID"/>
        </w:rPr>
        <w:t>hifz</w:t>
      </w:r>
      <w:proofErr w:type="spellEnd"/>
      <w:r w:rsidR="009D4016" w:rsidRPr="009D4016">
        <w:rPr>
          <w:rFonts w:ascii="Arial" w:eastAsia="Arial" w:hAnsi="Arial" w:cs="Arial"/>
          <w:i/>
          <w:color w:val="000000"/>
          <w:sz w:val="20"/>
          <w:szCs w:val="20"/>
          <w:lang w:val="en-ID"/>
        </w:rPr>
        <w:t xml:space="preserve"> al-</w:t>
      </w:r>
      <w:proofErr w:type="spellStart"/>
      <w:r w:rsidR="009D4016" w:rsidRPr="009D4016">
        <w:rPr>
          <w:rFonts w:ascii="Arial" w:eastAsia="Arial" w:hAnsi="Arial" w:cs="Arial"/>
          <w:i/>
          <w:color w:val="000000"/>
          <w:sz w:val="20"/>
          <w:szCs w:val="20"/>
          <w:lang w:val="en-ID"/>
        </w:rPr>
        <w:t>nasl</w:t>
      </w:r>
      <w:proofErr w:type="spellEnd"/>
      <w:r>
        <w:rPr>
          <w:rFonts w:ascii="Arial" w:eastAsia="Arial" w:hAnsi="Arial" w:cs="Arial"/>
          <w:color w:val="000000"/>
          <w:sz w:val="20"/>
          <w:szCs w:val="20"/>
          <w:lang w:val="en-ID"/>
        </w:rPr>
        <w:t>).</w:t>
      </w:r>
    </w:p>
    <w:p w:rsidR="00C3009A" w:rsidRDefault="00C3009A" w:rsidP="004F3CA5">
      <w:pPr>
        <w:pBdr>
          <w:top w:val="nil"/>
          <w:left w:val="nil"/>
          <w:bottom w:val="nil"/>
          <w:right w:val="nil"/>
          <w:between w:val="nil"/>
        </w:pBdr>
        <w:spacing w:after="0" w:line="480" w:lineRule="auto"/>
        <w:ind w:firstLine="425"/>
        <w:jc w:val="both"/>
        <w:rPr>
          <w:rFonts w:ascii="Arial" w:eastAsia="Arial" w:hAnsi="Arial" w:cs="Arial"/>
          <w:color w:val="000000"/>
          <w:sz w:val="20"/>
          <w:szCs w:val="20"/>
          <w:lang w:val="en-ID"/>
        </w:rPr>
      </w:pPr>
      <w:r w:rsidRPr="00C3009A">
        <w:rPr>
          <w:rFonts w:ascii="Arial" w:eastAsia="Arial" w:hAnsi="Arial" w:cs="Arial"/>
          <w:color w:val="000000"/>
          <w:sz w:val="20"/>
          <w:szCs w:val="20"/>
          <w:lang w:val="en-ID"/>
        </w:rPr>
        <w:t>To ensure the sustainability of this program, it is recommended that local governments further strengthen community participation, integrate Islamic values within empowerment initiatives, and enhance local capacities through technical and entrepreneurial training. Cross-sector collaboration between religious institutions, the TNI, and civil society should also be formalized to establish sustainable development efforts. Additionally, program evaluations should not only assess technical outcomes but also consider the social and spiritual impacts within the community.</w:t>
      </w:r>
      <w:r>
        <w:rPr>
          <w:rFonts w:ascii="Arial" w:eastAsia="Arial" w:hAnsi="Arial" w:cs="Arial"/>
          <w:color w:val="000000"/>
          <w:sz w:val="20"/>
          <w:szCs w:val="20"/>
          <w:lang w:val="en-ID"/>
        </w:rPr>
        <w:t xml:space="preserve"> </w:t>
      </w:r>
    </w:p>
    <w:p w:rsidR="00E52122" w:rsidRDefault="00C3009A">
      <w:pPr>
        <w:pBdr>
          <w:top w:val="nil"/>
          <w:left w:val="nil"/>
          <w:bottom w:val="nil"/>
          <w:right w:val="nil"/>
          <w:between w:val="nil"/>
        </w:pBdr>
        <w:spacing w:before="240" w:after="120"/>
        <w:ind w:hanging="426"/>
        <w:rPr>
          <w:rFonts w:ascii="Arial" w:eastAsia="Arial" w:hAnsi="Arial" w:cs="Arial"/>
          <w:b/>
          <w:color w:val="000000"/>
          <w:sz w:val="20"/>
          <w:szCs w:val="20"/>
        </w:rPr>
      </w:pPr>
      <w:r>
        <w:rPr>
          <w:rFonts w:ascii="Arial" w:eastAsia="Arial" w:hAnsi="Arial" w:cs="Arial"/>
          <w:b/>
          <w:color w:val="000000"/>
          <w:sz w:val="20"/>
          <w:szCs w:val="20"/>
        </w:rPr>
        <w:t>Bibliography</w:t>
      </w:r>
    </w:p>
    <w:bookmarkStart w:id="1" w:name="bookmark=id.1fob9te" w:colFirst="0" w:colLast="0"/>
    <w:bookmarkEnd w:id="1"/>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eastAsia="Arial" w:hAnsi="Arial" w:cs="Arial"/>
          <w:color w:val="000000"/>
          <w:sz w:val="18"/>
          <w:szCs w:val="18"/>
          <w:lang w:val="de-LU"/>
        </w:rPr>
        <w:fldChar w:fldCharType="begin"/>
      </w:r>
      <w:r>
        <w:rPr>
          <w:rFonts w:ascii="Arial" w:eastAsia="Arial" w:hAnsi="Arial" w:cs="Arial"/>
          <w:color w:val="000000"/>
          <w:sz w:val="18"/>
          <w:szCs w:val="18"/>
          <w:lang w:val="en-ID"/>
        </w:rPr>
        <w:instrText xml:space="preserve">ADDIN Mendeley Bibliography CSL_BIBLIOGRAPHY </w:instrText>
      </w:r>
      <w:r>
        <w:rPr>
          <w:rFonts w:ascii="Arial" w:eastAsia="Arial" w:hAnsi="Arial" w:cs="Arial"/>
          <w:color w:val="000000"/>
          <w:sz w:val="18"/>
          <w:szCs w:val="18"/>
          <w:lang w:val="de-LU"/>
        </w:rPr>
        <w:fldChar w:fldCharType="separate"/>
      </w:r>
      <w:r>
        <w:rPr>
          <w:rFonts w:ascii="Arial" w:hAnsi="Arial" w:cs="Arial"/>
          <w:noProof/>
          <w:sz w:val="18"/>
        </w:rPr>
        <w:t xml:space="preserve">Auda, J. (2008). </w:t>
      </w:r>
      <w:r>
        <w:rPr>
          <w:rFonts w:ascii="Arial" w:hAnsi="Arial" w:cs="Arial"/>
          <w:i/>
          <w:iCs/>
          <w:noProof/>
          <w:sz w:val="18"/>
        </w:rPr>
        <w:t>Maqasid al-Shariah as Philosophy of Islamic Law: A Systems Approach</w:t>
      </w:r>
      <w:r>
        <w:rPr>
          <w:rFonts w:ascii="Arial" w:hAnsi="Arial" w:cs="Arial"/>
          <w:noProof/>
          <w:sz w:val="18"/>
        </w:rPr>
        <w:t>. United Kingdom: Biddles Limited.</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 xml:space="preserve">Diantoro, F. (2023). Peningkatan Kesejahteraan Masyarakat Desa Sidomulyo Melalui Pelatihan Pembuatan Produk Olahan Susu Sapi Berbasis Kolaborasi Multisektor. </w:t>
      </w:r>
      <w:r>
        <w:rPr>
          <w:rFonts w:ascii="Arial" w:hAnsi="Arial" w:cs="Arial"/>
          <w:i/>
          <w:iCs/>
          <w:noProof/>
          <w:sz w:val="18"/>
        </w:rPr>
        <w:t>NYIUR-Dimas: Jurnal Ilmiah Pengabdian Kepada Masyarakat</w:t>
      </w:r>
      <w:r>
        <w:rPr>
          <w:rFonts w:ascii="Arial" w:hAnsi="Arial" w:cs="Arial"/>
          <w:noProof/>
          <w:sz w:val="18"/>
        </w:rPr>
        <w:t xml:space="preserve">, </w:t>
      </w:r>
      <w:r>
        <w:rPr>
          <w:rFonts w:ascii="Arial" w:hAnsi="Arial" w:cs="Arial"/>
          <w:i/>
          <w:iCs/>
          <w:noProof/>
          <w:sz w:val="18"/>
        </w:rPr>
        <w:t>3</w:t>
      </w:r>
      <w:r>
        <w:rPr>
          <w:rFonts w:ascii="Arial" w:hAnsi="Arial" w:cs="Arial"/>
          <w:noProof/>
          <w:sz w:val="18"/>
        </w:rPr>
        <w:t>(1), 18–27. https://doi.org/10.30984/nyiur.v3i1.462</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 xml:space="preserve">Fatkhullah, M. (2023). Pemberdayaan Masyarakat: Konsep, Peluang Dan Tantangan Dalam Perspektif Islam. </w:t>
      </w:r>
      <w:r>
        <w:rPr>
          <w:rFonts w:ascii="Arial" w:hAnsi="Arial" w:cs="Arial"/>
          <w:i/>
          <w:iCs/>
          <w:noProof/>
          <w:sz w:val="18"/>
        </w:rPr>
        <w:t>Jurnal Ekonomika Dan Bisnis Islam</w:t>
      </w:r>
      <w:r>
        <w:rPr>
          <w:rFonts w:ascii="Arial" w:hAnsi="Arial" w:cs="Arial"/>
          <w:noProof/>
          <w:sz w:val="18"/>
        </w:rPr>
        <w:t xml:space="preserve">, </w:t>
      </w:r>
      <w:r>
        <w:rPr>
          <w:rFonts w:ascii="Arial" w:hAnsi="Arial" w:cs="Arial"/>
          <w:i/>
          <w:iCs/>
          <w:noProof/>
          <w:sz w:val="18"/>
        </w:rPr>
        <w:t>6</w:t>
      </w:r>
      <w:r>
        <w:rPr>
          <w:rFonts w:ascii="Arial" w:hAnsi="Arial" w:cs="Arial"/>
          <w:noProof/>
          <w:sz w:val="18"/>
        </w:rPr>
        <w:t>(1), 137–153.</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Grindulu FM. (2024). Belum Tentu Miskin, 15.866 Rumah Warga Pacitan Tidak Layak Huni. Retrieved from Grindulu FM website: https://www.grindulufm.co.id/2024/09/belum-tentu-miskin-15866-rumah-warga.html</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Grindulu FM. (2025). Pemkab Klaim Rumah Tidak Layak Huni Bekurang Meski Masih Ada “PR” 15 Ribu Unit. Retrieved from Grindulu FM website: https://www.grindulufm.co.id/2025/01/pemkab-klaim-rumah-tidak-layak-huni.html</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Kementerian Pekerjaan Umum dan Perumahan Rakyat. (2023). Tingkatkan Akses Kepemilikan Rumah Layak Huni, Kementerian PUPR Tambah Kuota Bantuan Subsidi Perumahan Tahun 2023. Retrieved from Kementerian Pekerjaan Umum dan Perumahan Rakyat website: https://pembiayaan.pu.go.id/news/detail/162/Tingkatkan-Akses-Kepemilikan-Rumah-Layak-</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 xml:space="preserve">Khalid, M., &amp; Ritonga, F. U. (2022). Penerapan Prinsip Ukhuwah Islamiyah: Serikat Tolong Menolong Al-Amin Dusun X Desa Bandar Setia. </w:t>
      </w:r>
      <w:r>
        <w:rPr>
          <w:rFonts w:ascii="Arial" w:hAnsi="Arial" w:cs="Arial"/>
          <w:i/>
          <w:iCs/>
          <w:noProof/>
          <w:sz w:val="18"/>
        </w:rPr>
        <w:t>Jurnal Penelitian Inovatif</w:t>
      </w:r>
      <w:r>
        <w:rPr>
          <w:rFonts w:ascii="Arial" w:hAnsi="Arial" w:cs="Arial"/>
          <w:noProof/>
          <w:sz w:val="18"/>
        </w:rPr>
        <w:t xml:space="preserve">, </w:t>
      </w:r>
      <w:r>
        <w:rPr>
          <w:rFonts w:ascii="Arial" w:hAnsi="Arial" w:cs="Arial"/>
          <w:i/>
          <w:iCs/>
          <w:noProof/>
          <w:sz w:val="18"/>
        </w:rPr>
        <w:t>2</w:t>
      </w:r>
      <w:r>
        <w:rPr>
          <w:rFonts w:ascii="Arial" w:hAnsi="Arial" w:cs="Arial"/>
          <w:noProof/>
          <w:sz w:val="18"/>
        </w:rPr>
        <w:t>(3), 433–440. https://doi.org/10.54082/jupin.97</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Merdeka.com. (2023). Data PUPR: 12,7 Juta Orang Indonesia Tak Punya Rumah, Tiap Tahun Bertambah 740.000 Orang. Retrieved from Merdeka.com website: https://www.merdeka.com/uang/data-pupr-127-juta-orang-indonesia-tak-punya-rumah-tiap-tahun-bertambah-740000-orang-6436-mvk.html</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 xml:space="preserve">Mu’ti, A. (2009). </w:t>
      </w:r>
      <w:r>
        <w:rPr>
          <w:rFonts w:ascii="Arial" w:hAnsi="Arial" w:cs="Arial"/>
          <w:i/>
          <w:iCs/>
          <w:noProof/>
          <w:sz w:val="18"/>
        </w:rPr>
        <w:t>Inkulturasi Islam: Menyemai Persaudaraan, Keadilan, dan Emansipasi Kemanusiaan</w:t>
      </w:r>
      <w:r>
        <w:rPr>
          <w:rFonts w:ascii="Arial" w:hAnsi="Arial" w:cs="Arial"/>
          <w:noProof/>
          <w:sz w:val="18"/>
        </w:rPr>
        <w:t>. Jakarta: Al-Wasat Publishing House.</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 xml:space="preserve">Nuryanto, U. W., Munawir, A., &amp; Barsowi. (2023). Pemberdayaan Masyarakat Perumahan dalam Upaya Meningkatkan Pengetahuan Keagamaan. </w:t>
      </w:r>
      <w:r>
        <w:rPr>
          <w:rFonts w:ascii="Arial" w:hAnsi="Arial" w:cs="Arial"/>
          <w:i/>
          <w:iCs/>
          <w:noProof/>
          <w:sz w:val="18"/>
        </w:rPr>
        <w:t>Batara Wisnu Journal: Indonesian Journal of Community Service</w:t>
      </w:r>
      <w:r>
        <w:rPr>
          <w:rFonts w:ascii="Arial" w:hAnsi="Arial" w:cs="Arial"/>
          <w:noProof/>
          <w:sz w:val="18"/>
        </w:rPr>
        <w:t xml:space="preserve">, </w:t>
      </w:r>
      <w:r>
        <w:rPr>
          <w:rFonts w:ascii="Arial" w:hAnsi="Arial" w:cs="Arial"/>
          <w:i/>
          <w:iCs/>
          <w:noProof/>
          <w:sz w:val="18"/>
        </w:rPr>
        <w:t>3</w:t>
      </w:r>
      <w:r>
        <w:rPr>
          <w:rFonts w:ascii="Arial" w:hAnsi="Arial" w:cs="Arial"/>
          <w:noProof/>
          <w:sz w:val="18"/>
        </w:rPr>
        <w:t>(2), 352–360.</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lastRenderedPageBreak/>
        <w:t xml:space="preserve">Pampur, F., Devy Pramudiana, I., &amp; Kamariyah, S. (2024). Implementasi Program Perbaikan Rumah Tidak Layak Huni Melalui E-Rutilahu bagi Keluarga Miskin (Gamis) oleh Dinas Perumahan Rakyat dan Kawasan Permukiman serta Pertanahan Kota Surabaya. </w:t>
      </w:r>
      <w:r>
        <w:rPr>
          <w:rFonts w:ascii="Arial" w:hAnsi="Arial" w:cs="Arial"/>
          <w:i/>
          <w:iCs/>
          <w:noProof/>
          <w:sz w:val="18"/>
        </w:rPr>
        <w:t>Sap</w:t>
      </w:r>
      <w:r>
        <w:rPr>
          <w:rFonts w:ascii="Arial" w:hAnsi="Arial" w:cs="Arial"/>
          <w:noProof/>
          <w:sz w:val="18"/>
        </w:rPr>
        <w:t xml:space="preserve">, </w:t>
      </w:r>
      <w:r>
        <w:rPr>
          <w:rFonts w:ascii="Arial" w:hAnsi="Arial" w:cs="Arial"/>
          <w:i/>
          <w:iCs/>
          <w:noProof/>
          <w:sz w:val="18"/>
        </w:rPr>
        <w:t>2</w:t>
      </w:r>
      <w:r>
        <w:rPr>
          <w:rFonts w:ascii="Arial" w:hAnsi="Arial" w:cs="Arial"/>
          <w:noProof/>
          <w:sz w:val="18"/>
        </w:rPr>
        <w:t>(1), 93–104. Retrieved from https://ejournal.unitomo.ac.id/index.php/sap/article/download/8076/3892</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 xml:space="preserve">Pusnita, I., Wagisri, W., Berlian, O., &amp; Marleni, M. (2023). Pelayanan Kesehatan dalam Pembangunan Kesejahteraan Sosial di Kecamatan Gandus Kota Palembang. </w:t>
      </w:r>
      <w:r>
        <w:rPr>
          <w:rFonts w:ascii="Arial" w:hAnsi="Arial" w:cs="Arial"/>
          <w:i/>
          <w:iCs/>
          <w:noProof/>
          <w:sz w:val="18"/>
        </w:rPr>
        <w:t>Jurnal Publisitas</w:t>
      </w:r>
      <w:r>
        <w:rPr>
          <w:rFonts w:ascii="Arial" w:hAnsi="Arial" w:cs="Arial"/>
          <w:noProof/>
          <w:sz w:val="18"/>
        </w:rPr>
        <w:t xml:space="preserve">, </w:t>
      </w:r>
      <w:r>
        <w:rPr>
          <w:rFonts w:ascii="Arial" w:hAnsi="Arial" w:cs="Arial"/>
          <w:i/>
          <w:iCs/>
          <w:noProof/>
          <w:sz w:val="18"/>
        </w:rPr>
        <w:t>9</w:t>
      </w:r>
      <w:r>
        <w:rPr>
          <w:rFonts w:ascii="Arial" w:hAnsi="Arial" w:cs="Arial"/>
          <w:noProof/>
          <w:sz w:val="18"/>
        </w:rPr>
        <w:t>(2), 187–198. https://doi.org/10.37858/publisitas.v9i2.326</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 xml:space="preserve">Republik Indonesia. </w:t>
      </w:r>
      <w:r>
        <w:rPr>
          <w:rFonts w:ascii="Arial" w:hAnsi="Arial" w:cs="Arial"/>
          <w:i/>
          <w:iCs/>
          <w:noProof/>
          <w:sz w:val="18"/>
        </w:rPr>
        <w:t>Undang-Undang Nomor 1 Tahun 2011 tentang Perumahan dan Kawasan Permukiman</w:t>
      </w:r>
      <w:r>
        <w:rPr>
          <w:rFonts w:ascii="Arial" w:hAnsi="Arial" w:cs="Arial"/>
          <w:noProof/>
          <w:sz w:val="18"/>
        </w:rPr>
        <w:t>. , (2011).</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 xml:space="preserve">Reswara, K., Primandhana, W. P., &amp; Sishadiyati. (2024). Peran Masyarakat Dalam Mengikuti Program Bantuan Stimulan Perumahan Swadaya (BSPS) Guna Meningkatkan Kesejahteraan Di Desa Mlati Kabupaten Pacitan. </w:t>
      </w:r>
      <w:r>
        <w:rPr>
          <w:rFonts w:ascii="Arial" w:hAnsi="Arial" w:cs="Arial"/>
          <w:i/>
          <w:iCs/>
          <w:noProof/>
          <w:sz w:val="18"/>
        </w:rPr>
        <w:t>Jurnal Ilmiah Wahana Pendidikan</w:t>
      </w:r>
      <w:r>
        <w:rPr>
          <w:rFonts w:ascii="Arial" w:hAnsi="Arial" w:cs="Arial"/>
          <w:noProof/>
          <w:sz w:val="18"/>
        </w:rPr>
        <w:t xml:space="preserve">, </w:t>
      </w:r>
      <w:r>
        <w:rPr>
          <w:rFonts w:ascii="Arial" w:hAnsi="Arial" w:cs="Arial"/>
          <w:i/>
          <w:iCs/>
          <w:noProof/>
          <w:sz w:val="18"/>
        </w:rPr>
        <w:t>10</w:t>
      </w:r>
      <w:r>
        <w:rPr>
          <w:rFonts w:ascii="Arial" w:hAnsi="Arial" w:cs="Arial"/>
          <w:noProof/>
          <w:sz w:val="18"/>
        </w:rPr>
        <w:t>(19).</w:t>
      </w:r>
    </w:p>
    <w:p w:rsidR="00E52122" w:rsidRDefault="005A3C34">
      <w:pPr>
        <w:widowControl w:val="0"/>
        <w:autoSpaceDE w:val="0"/>
        <w:autoSpaceDN w:val="0"/>
        <w:adjustRightInd w:val="0"/>
        <w:spacing w:after="0" w:line="240" w:lineRule="auto"/>
        <w:ind w:hanging="480"/>
        <w:jc w:val="both"/>
        <w:rPr>
          <w:rFonts w:ascii="Arial" w:hAnsi="Arial" w:cs="Arial"/>
          <w:noProof/>
          <w:sz w:val="18"/>
        </w:rPr>
      </w:pPr>
      <w:r>
        <w:rPr>
          <w:rFonts w:ascii="Arial" w:hAnsi="Arial" w:cs="Arial"/>
          <w:noProof/>
          <w:sz w:val="18"/>
        </w:rPr>
        <w:t xml:space="preserve">Yahya, F. A. (2022). </w:t>
      </w:r>
      <w:r>
        <w:rPr>
          <w:rFonts w:ascii="Arial" w:hAnsi="Arial" w:cs="Arial"/>
          <w:i/>
          <w:iCs/>
          <w:noProof/>
          <w:sz w:val="18"/>
        </w:rPr>
        <w:t>Implementasi Prinsip Ta’awun pada Kegiatan Arisan Gotong Royong oleh Grup Persatuan di Desa Wirowongso Kecamatan Ajung Kabupaten Jember</w:t>
      </w:r>
      <w:r>
        <w:rPr>
          <w:rFonts w:ascii="Arial" w:hAnsi="Arial" w:cs="Arial"/>
          <w:noProof/>
          <w:sz w:val="18"/>
        </w:rPr>
        <w:t>. Universitas Islam Negeri Kiai Haji Achmad Siddiq.</w:t>
      </w:r>
    </w:p>
    <w:p w:rsidR="00E52122" w:rsidRDefault="005A3C34">
      <w:pPr>
        <w:widowControl w:val="0"/>
        <w:pBdr>
          <w:top w:val="nil"/>
          <w:left w:val="nil"/>
          <w:bottom w:val="nil"/>
          <w:right w:val="nil"/>
          <w:between w:val="nil"/>
        </w:pBdr>
        <w:spacing w:after="0"/>
        <w:ind w:hanging="480"/>
        <w:jc w:val="both"/>
        <w:rPr>
          <w:rFonts w:ascii="Arial" w:eastAsia="Arial" w:hAnsi="Arial" w:cs="Arial"/>
          <w:color w:val="000000"/>
          <w:sz w:val="18"/>
          <w:szCs w:val="18"/>
          <w:lang w:val="de-LU"/>
        </w:rPr>
      </w:pPr>
      <w:r>
        <w:rPr>
          <w:rFonts w:ascii="Arial" w:eastAsia="Arial" w:hAnsi="Arial" w:cs="Arial"/>
          <w:color w:val="000000"/>
          <w:sz w:val="18"/>
          <w:szCs w:val="18"/>
          <w:lang w:val="de-LU"/>
        </w:rPr>
        <w:fldChar w:fldCharType="end"/>
      </w:r>
    </w:p>
    <w:p w:rsidR="00E52122" w:rsidRDefault="00E52122">
      <w:pPr>
        <w:widowControl w:val="0"/>
        <w:pBdr>
          <w:top w:val="nil"/>
          <w:left w:val="nil"/>
          <w:bottom w:val="nil"/>
          <w:right w:val="nil"/>
          <w:between w:val="nil"/>
        </w:pBdr>
        <w:spacing w:after="0"/>
        <w:ind w:hanging="480"/>
        <w:jc w:val="both"/>
        <w:rPr>
          <w:rFonts w:ascii="Arial" w:eastAsia="Arial" w:hAnsi="Arial" w:cs="Arial"/>
          <w:color w:val="000000"/>
          <w:sz w:val="18"/>
          <w:szCs w:val="18"/>
          <w:lang w:val="de-LU"/>
        </w:rPr>
      </w:pPr>
    </w:p>
    <w:p w:rsidR="00E52122" w:rsidRDefault="005A3C34">
      <w:pPr>
        <w:widowControl w:val="0"/>
        <w:pBdr>
          <w:top w:val="nil"/>
          <w:left w:val="nil"/>
          <w:bottom w:val="nil"/>
          <w:right w:val="nil"/>
          <w:between w:val="nil"/>
        </w:pBdr>
        <w:spacing w:after="0"/>
        <w:ind w:hanging="480"/>
        <w:jc w:val="both"/>
        <w:rPr>
          <w:rFonts w:ascii="Arial" w:eastAsia="Arial" w:hAnsi="Arial" w:cs="Arial"/>
          <w:color w:val="000000"/>
          <w:sz w:val="18"/>
          <w:szCs w:val="18"/>
          <w:lang w:val="de-LU"/>
        </w:rPr>
      </w:pPr>
      <w:r>
        <w:rPr>
          <w:rFonts w:ascii="Arial" w:eastAsia="Arial" w:hAnsi="Arial" w:cs="Arial"/>
          <w:color w:val="000000"/>
          <w:sz w:val="18"/>
          <w:szCs w:val="18"/>
          <w:lang w:val="de-LU"/>
        </w:rPr>
        <w:t xml:space="preserve"> </w:t>
      </w:r>
    </w:p>
    <w:tbl>
      <w:tblPr>
        <w:tblStyle w:val="a3"/>
        <w:tblW w:w="5000" w:type="pct"/>
        <w:jc w:val="center"/>
        <w:tblLook w:val="0400" w:firstRow="0" w:lastRow="0" w:firstColumn="0" w:lastColumn="0" w:noHBand="0" w:noVBand="1"/>
      </w:tblPr>
      <w:tblGrid>
        <w:gridCol w:w="1728"/>
        <w:gridCol w:w="6776"/>
      </w:tblGrid>
      <w:tr w:rsidR="00E52122">
        <w:trPr>
          <w:jc w:val="center"/>
        </w:trPr>
        <w:tc>
          <w:tcPr>
            <w:tcW w:w="942" w:type="pct"/>
            <w:shd w:val="clear" w:color="auto" w:fill="auto"/>
            <w:vAlign w:val="center"/>
          </w:tcPr>
          <w:p w:rsidR="00E52122" w:rsidRDefault="005A3C34">
            <w:pPr>
              <w:widowControl w:val="0"/>
              <w:pBdr>
                <w:top w:val="nil"/>
                <w:left w:val="nil"/>
                <w:bottom w:val="nil"/>
                <w:right w:val="nil"/>
                <w:between w:val="nil"/>
              </w:pBdr>
              <w:spacing w:after="0"/>
              <w:ind w:left="447" w:hanging="480"/>
              <w:jc w:val="both"/>
              <w:rPr>
                <w:rFonts w:ascii="Arial" w:eastAsia="Arial" w:hAnsi="Arial" w:cs="Arial"/>
                <w:color w:val="000000"/>
                <w:sz w:val="18"/>
                <w:szCs w:val="18"/>
              </w:rPr>
            </w:pPr>
            <w:r>
              <w:rPr>
                <w:noProof/>
                <w:lang w:eastAsia="en-US"/>
              </w:rPr>
              <w:drawing>
                <wp:inline distT="0" distB="0" distL="0" distR="0">
                  <wp:extent cx="971550" cy="345440"/>
                  <wp:effectExtent l="0" t="0" r="0" b="0"/>
                  <wp:docPr id="1026" name="image2.png" descr="Lisensi Creative Comm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2" cstate="print"/>
                          <a:srcRect/>
                          <a:stretch/>
                        </pic:blipFill>
                        <pic:spPr>
                          <a:xfrm>
                            <a:off x="0" y="0"/>
                            <a:ext cx="971550" cy="345440"/>
                          </a:xfrm>
                          <a:prstGeom prst="rect">
                            <a:avLst/>
                          </a:prstGeom>
                          <a:ln w="9525" cap="flat" cmpd="sng">
                            <a:solidFill>
                              <a:srgbClr val="000000"/>
                            </a:solidFill>
                            <a:prstDash val="solid"/>
                            <a:round/>
                            <a:headEnd/>
                            <a:tailEnd/>
                          </a:ln>
                        </pic:spPr>
                      </pic:pic>
                    </a:graphicData>
                  </a:graphic>
                </wp:inline>
              </w:drawing>
            </w:r>
          </w:p>
        </w:tc>
        <w:tc>
          <w:tcPr>
            <w:tcW w:w="4058" w:type="pct"/>
            <w:shd w:val="clear" w:color="auto" w:fill="auto"/>
            <w:vAlign w:val="center"/>
          </w:tcPr>
          <w:p w:rsidR="00E52122" w:rsidRDefault="005A3C34">
            <w:pPr>
              <w:widowControl w:val="0"/>
              <w:pBdr>
                <w:top w:val="nil"/>
                <w:left w:val="nil"/>
                <w:bottom w:val="nil"/>
                <w:right w:val="nil"/>
                <w:between w:val="nil"/>
              </w:pBdr>
              <w:spacing w:after="0"/>
              <w:ind w:left="455" w:hanging="480"/>
              <w:jc w:val="both"/>
              <w:rPr>
                <w:rFonts w:ascii="Arial" w:eastAsia="Arial" w:hAnsi="Arial" w:cs="Arial"/>
                <w:color w:val="000000"/>
                <w:sz w:val="18"/>
                <w:szCs w:val="18"/>
              </w:rPr>
            </w:pPr>
            <w:r>
              <w:rPr>
                <w:rFonts w:ascii="Arial" w:eastAsia="Arial" w:hAnsi="Arial" w:cs="Arial"/>
                <w:color w:val="000000"/>
                <w:sz w:val="18"/>
                <w:szCs w:val="18"/>
              </w:rPr>
              <w:t>© 202</w:t>
            </w:r>
            <w:r w:rsidR="004F3CA5">
              <w:rPr>
                <w:rFonts w:ascii="Arial" w:eastAsia="Arial" w:hAnsi="Arial" w:cs="Arial"/>
                <w:color w:val="000000"/>
                <w:sz w:val="18"/>
                <w:szCs w:val="18"/>
              </w:rPr>
              <w:t>5</w:t>
            </w:r>
            <w:r>
              <w:rPr>
                <w:rFonts w:ascii="Arial" w:eastAsia="Arial" w:hAnsi="Arial" w:cs="Arial"/>
                <w:color w:val="000000"/>
                <w:sz w:val="18"/>
                <w:szCs w:val="18"/>
              </w:rPr>
              <w:t xml:space="preserve"> by the authors. Submitted for possible open access publication under the terms and conditions of the Creative Commons Attribution (CC BY SA) license (https://creativecommons.org/licenses/by-sa/3.0/).</w:t>
            </w:r>
          </w:p>
        </w:tc>
      </w:tr>
    </w:tbl>
    <w:p w:rsidR="00E52122" w:rsidRDefault="00E52122">
      <w:pPr>
        <w:rPr>
          <w:rFonts w:ascii="Arial" w:eastAsia="Arial" w:hAnsi="Arial" w:cs="Arial"/>
        </w:rPr>
      </w:pPr>
    </w:p>
    <w:sectPr w:rsidR="00E52122" w:rsidSect="004F3CA5">
      <w:headerReference w:type="default" r:id="rId13"/>
      <w:footerReference w:type="default" r:id="rId14"/>
      <w:headerReference w:type="first" r:id="rId15"/>
      <w:footerReference w:type="first" r:id="rId16"/>
      <w:pgSz w:w="11906" w:h="16838"/>
      <w:pgMar w:top="1701" w:right="1701" w:bottom="1701" w:left="1701" w:header="425" w:footer="709" w:gutter="0"/>
      <w:pgNumType w:start="3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699C" w:rsidRDefault="0048699C">
      <w:pPr>
        <w:spacing w:after="0" w:line="240" w:lineRule="auto"/>
      </w:pPr>
      <w:r>
        <w:separator/>
      </w:r>
    </w:p>
  </w:endnote>
  <w:endnote w:type="continuationSeparator" w:id="0">
    <w:p w:rsidR="0048699C" w:rsidRDefault="0048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42E933C8-1975-C54C-B7D0-17E2432884C0}"/>
    <w:embedBold r:id="rId2" w:fontKey="{A884268B-92D3-764B-A6E3-D43BFD90C0C8}"/>
    <w:embedItalic r:id="rId3" w:fontKey="{49EBB8BC-362D-C943-B09A-A1E51ED31A98}"/>
  </w:font>
  <w:font w:name="Symbol">
    <w:panose1 w:val="05050102010706020507"/>
    <w:charset w:val="02"/>
    <w:family w:val="decorative"/>
    <w:pitch w:val="variable"/>
    <w:sig w:usb0="00000000" w:usb1="10000000" w:usb2="00000000" w:usb3="00000000" w:csb0="80000000" w:csb1="00000000"/>
    <w:embedRegular r:id="rId4" w:fontKey="{CDF46136-4325-CB42-8791-40000A43BDC4}"/>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6" w:fontKey="{5D319375-39E9-D442-8887-CFF80C0DABD8}"/>
  </w:font>
  <w:font w:name="Calibri">
    <w:panose1 w:val="020F0502020204030204"/>
    <w:charset w:val="00"/>
    <w:family w:val="swiss"/>
    <w:pitch w:val="variable"/>
    <w:sig w:usb0="E4002EFF" w:usb1="C200247B" w:usb2="00000009" w:usb3="00000000" w:csb0="000001FF" w:csb1="00000000"/>
    <w:embedRegular r:id="rId7" w:fontKey="{F16CDCCD-1289-D040-A83A-25AECB2F2910}"/>
    <w:embedBold r:id="rId8" w:fontKey="{423EE5F9-A670-4943-A34F-82BB66448D08}"/>
    <w:embedItalic r:id="rId9" w:fontKey="{49A66F87-9CDB-BE42-A9EA-218A98C5CC20}"/>
  </w:font>
  <w:font w:name="Palatino Linotype">
    <w:panose1 w:val="02040502050505030304"/>
    <w:charset w:val="00"/>
    <w:family w:val="roman"/>
    <w:pitch w:val="variable"/>
    <w:sig w:usb0="E0000287" w:usb1="40000013" w:usb2="00000000" w:usb3="00000000" w:csb0="0000019F" w:csb1="00000000"/>
    <w:embedRegular r:id="rId10" w:fontKey="{39231900-712A-F04F-97B9-63201C759AFF}"/>
    <w:embedBold r:id="rId11" w:fontKey="{94BD0D1A-5B50-B14D-A8C5-D782A8E6F2FB}"/>
    <w:embedItalic r:id="rId12" w:fontKey="{CBDCABF4-E473-7B43-9FA2-043E437EDD97}"/>
  </w:font>
  <w:font w:name="Segoe UI">
    <w:panose1 w:val="020B0502040204020203"/>
    <w:charset w:val="00"/>
    <w:family w:val="swiss"/>
    <w:pitch w:val="variable"/>
    <w:sig w:usb0="E4002EFF" w:usb1="C000E47F" w:usb2="00000009" w:usb3="00000000" w:csb0="000001FF" w:csb1="00000000"/>
    <w:embedRegular r:id="rId13" w:fontKey="{F367578C-449E-B943-935E-DAE5D21607EB}"/>
  </w:font>
  <w:font w:name="Georgia">
    <w:panose1 w:val="02040502050405020303"/>
    <w:charset w:val="00"/>
    <w:family w:val="roman"/>
    <w:pitch w:val="variable"/>
    <w:sig w:usb0="00000287" w:usb1="00000000" w:usb2="00000000" w:usb3="00000000" w:csb0="0000009F" w:csb1="00000000"/>
    <w:embedRegular r:id="rId14" w:fontKey="{F5E42ED2-6D3E-7E4B-BF25-3D44A6FC14E9}"/>
    <w:embedItalic r:id="rId15" w:fontKey="{B969A841-961B-4348-8F7A-034DC4C77C2E}"/>
  </w:font>
  <w:font w:name="Arial">
    <w:panose1 w:val="020B0604020202020204"/>
    <w:charset w:val="00"/>
    <w:family w:val="swiss"/>
    <w:pitch w:val="variable"/>
    <w:sig w:usb0="E0002EFF" w:usb1="C000785B" w:usb2="00000009" w:usb3="00000000" w:csb0="000001FF" w:csb1="00000000"/>
    <w:embedRegular r:id="rId16" w:fontKey="{A2684C2E-E28A-994F-9BA8-CD19722EB6B2}"/>
    <w:embedBold r:id="rId17" w:fontKey="{CB9ECE92-FE09-DD42-876A-5A502350BF59}"/>
    <w:embedItalic r:id="rId18" w:fontKey="{C122375F-42A4-2747-AD62-BED2A1C476C9}"/>
    <w:embedBoldItalic r:id="rId19" w:fontKey="{3D5B9975-86EC-194B-A761-8F216C428663}"/>
  </w:font>
  <w:font w:name="Cambria">
    <w:panose1 w:val="02040503050406030204"/>
    <w:charset w:val="00"/>
    <w:family w:val="roman"/>
    <w:pitch w:val="variable"/>
    <w:sig w:usb0="E00006FF" w:usb1="420024FF" w:usb2="02000000" w:usb3="00000000" w:csb0="0000019F" w:csb1="00000000"/>
    <w:embedRegular r:id="rId20" w:fontKey="{5816E130-0433-BF4E-8587-95B9C6675D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83ABD" w:rsidRDefault="00C83ABD" w:rsidP="00C83ABD">
    <w:pPr>
      <w:pBdr>
        <w:top w:val="nil"/>
        <w:left w:val="nil"/>
        <w:bottom w:val="nil"/>
        <w:right w:val="nil"/>
        <w:between w:val="nil"/>
      </w:pBdr>
      <w:spacing w:after="120"/>
      <w:rPr>
        <w:rFonts w:ascii="Arial" w:eastAsia="Arial" w:hAnsi="Arial" w:cs="Arial"/>
        <w:b/>
        <w:color w:val="000000"/>
        <w:sz w:val="20"/>
        <w:szCs w:val="20"/>
      </w:rPr>
    </w:pPr>
  </w:p>
  <w:p w:rsidR="00C83ABD" w:rsidRPr="00C83ABD" w:rsidRDefault="00C83ABD" w:rsidP="00C83ABD">
    <w:pPr>
      <w:pBdr>
        <w:top w:val="nil"/>
        <w:left w:val="nil"/>
        <w:bottom w:val="nil"/>
        <w:right w:val="nil"/>
        <w:between w:val="nil"/>
      </w:pBdr>
      <w:spacing w:after="120"/>
      <w:rPr>
        <w:rFonts w:ascii="Palatino Linotype" w:eastAsia="Arial" w:hAnsi="Palatino Linotype" w:cs="Arial"/>
        <w:bCs/>
        <w:i/>
        <w:iCs/>
        <w:color w:val="000000"/>
        <w:sz w:val="16"/>
        <w:szCs w:val="16"/>
        <w:lang w:val="en-ID"/>
      </w:rPr>
    </w:pPr>
    <w:r w:rsidRPr="00C83ABD">
      <w:rPr>
        <w:rFonts w:ascii="Palatino Linotype" w:eastAsia="Arial" w:hAnsi="Palatino Linotype" w:cs="Arial"/>
        <w:bCs/>
        <w:i/>
        <w:iCs/>
        <w:color w:val="000000"/>
        <w:sz w:val="16"/>
        <w:szCs w:val="16"/>
        <w:lang w:val="en-ID"/>
      </w:rPr>
      <w:t xml:space="preserve">Anton Sri </w:t>
    </w:r>
    <w:proofErr w:type="spellStart"/>
    <w:r w:rsidRPr="00C83ABD">
      <w:rPr>
        <w:rFonts w:ascii="Palatino Linotype" w:eastAsia="Arial" w:hAnsi="Palatino Linotype" w:cs="Arial"/>
        <w:bCs/>
        <w:i/>
        <w:iCs/>
        <w:color w:val="000000"/>
        <w:sz w:val="16"/>
        <w:szCs w:val="16"/>
        <w:lang w:val="en-ID"/>
      </w:rPr>
      <w:t>Mahendra</w:t>
    </w:r>
    <w:proofErr w:type="spellEnd"/>
    <w:r w:rsidRPr="00C83ABD">
      <w:rPr>
        <w:rFonts w:ascii="Palatino Linotype" w:eastAsia="Arial" w:hAnsi="Palatino Linotype" w:cs="Arial"/>
        <w:bCs/>
        <w:i/>
        <w:iCs/>
        <w:color w:val="000000"/>
        <w:sz w:val="16"/>
        <w:szCs w:val="16"/>
        <w:lang w:val="en-ID"/>
      </w:rPr>
      <w:t xml:space="preserve">, Happy </w:t>
    </w:r>
    <w:proofErr w:type="spellStart"/>
    <w:r w:rsidRPr="00C83ABD">
      <w:rPr>
        <w:rFonts w:ascii="Palatino Linotype" w:eastAsia="Arial" w:hAnsi="Palatino Linotype" w:cs="Arial"/>
        <w:bCs/>
        <w:i/>
        <w:iCs/>
        <w:color w:val="000000"/>
        <w:sz w:val="16"/>
        <w:szCs w:val="16"/>
        <w:lang w:val="en-ID"/>
      </w:rPr>
      <w:t>Agustiani</w:t>
    </w:r>
    <w:proofErr w:type="spellEnd"/>
    <w:r w:rsidR="005A3C34">
      <w:rPr>
        <w:rFonts w:ascii="Palatino Linotype" w:eastAsia="Palatino Linotype" w:hAnsi="Palatino Linotype" w:cs="Palatino Linotype"/>
        <w:i/>
        <w:color w:val="000000"/>
        <w:sz w:val="16"/>
        <w:szCs w:val="16"/>
      </w:rPr>
      <w:t>/</w:t>
    </w:r>
    <w:r w:rsidRPr="00C83ABD">
      <w:rPr>
        <w:rFonts w:ascii="Palatino Linotype" w:eastAsia="Arial" w:hAnsi="Palatino Linotype" w:cs="Arial"/>
        <w:i/>
        <w:iCs/>
        <w:color w:val="000000"/>
        <w:sz w:val="16"/>
        <w:szCs w:val="16"/>
      </w:rPr>
      <w:t>Optimizing Housing Renovation Assistance Programs for the</w:t>
    </w:r>
    <w:r>
      <w:rPr>
        <w:rFonts w:ascii="Palatino Linotype" w:eastAsia="Arial" w:hAnsi="Palatino Linotype" w:cs="Arial"/>
        <w:i/>
        <w:iCs/>
        <w:color w:val="000000"/>
        <w:sz w:val="16"/>
        <w:szCs w:val="16"/>
      </w:rPr>
      <w:t>………</w:t>
    </w:r>
  </w:p>
  <w:p w:rsidR="00E52122" w:rsidRDefault="00E5212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2122" w:rsidRDefault="005A3C34">
    <w:pPr>
      <w:tabs>
        <w:tab w:val="right" w:pos="8844"/>
      </w:tabs>
      <w:spacing w:before="120" w:line="240" w:lineRule="auto"/>
      <w:rPr>
        <w:rFonts w:ascii="Palatino Linotype" w:eastAsia="Palatino Linotype" w:hAnsi="Palatino Linotype" w:cs="Palatino Linotype"/>
        <w:sz w:val="16"/>
        <w:szCs w:val="16"/>
      </w:rPr>
    </w:pPr>
    <w:proofErr w:type="gramStart"/>
    <w:r>
      <w:rPr>
        <w:rFonts w:ascii="Palatino Linotype" w:eastAsia="Palatino Linotype" w:hAnsi="Palatino Linotype" w:cs="Palatino Linotype"/>
        <w:i/>
        <w:sz w:val="16"/>
        <w:szCs w:val="16"/>
      </w:rPr>
      <w:t>DOI :</w:t>
    </w:r>
    <w:proofErr w:type="gramEnd"/>
    <w:r>
      <w:rPr>
        <w:rFonts w:ascii="Palatino Linotype" w:eastAsia="Palatino Linotype" w:hAnsi="Palatino Linotype" w:cs="Palatino Linotype"/>
        <w:i/>
        <w:sz w:val="16"/>
        <w:szCs w:val="16"/>
      </w:rPr>
      <w:t xml:space="preserve"> </w:t>
    </w:r>
    <w:r w:rsidR="00DD2F16" w:rsidRPr="00DD2F16">
      <w:rPr>
        <w:rFonts w:ascii="Palatino Linotype" w:eastAsia="Palatino Linotype" w:hAnsi="Palatino Linotype" w:cs="Palatino Linotype"/>
        <w:i/>
        <w:sz w:val="16"/>
        <w:szCs w:val="16"/>
      </w:rPr>
      <w:t>10.20414/komunitas.v16i1.13384</w:t>
    </w:r>
    <w:r>
      <w:rPr>
        <w:rFonts w:ascii="Palatino Linotype" w:eastAsia="Palatino Linotype" w:hAnsi="Palatino Linotype" w:cs="Palatino Linotype"/>
        <w:sz w:val="16"/>
        <w:szCs w:val="16"/>
      </w:rPr>
      <w:tab/>
      <w:t>https://journal.uinmataram.ac.id/index.php/komunitas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699C" w:rsidRDefault="0048699C">
      <w:pPr>
        <w:spacing w:after="0" w:line="240" w:lineRule="auto"/>
      </w:pPr>
      <w:r>
        <w:separator/>
      </w:r>
    </w:p>
  </w:footnote>
  <w:footnote w:type="continuationSeparator" w:id="0">
    <w:p w:rsidR="0048699C" w:rsidRDefault="00486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2122" w:rsidRDefault="005A3C34">
    <w:pPr>
      <w:tabs>
        <w:tab w:val="right" w:pos="8844"/>
      </w:tabs>
      <w:spacing w:after="240" w:line="240" w:lineRule="auto"/>
      <w:rPr>
        <w:rFonts w:ascii="Palatino Linotype" w:eastAsia="Palatino Linotype" w:hAnsi="Palatino Linotype" w:cs="Palatino Linotype"/>
        <w:sz w:val="16"/>
        <w:szCs w:val="16"/>
      </w:rPr>
    </w:pPr>
    <w:r>
      <w:rPr>
        <w:rFonts w:ascii="Palatino Linotype" w:eastAsia="Palatino Linotype" w:hAnsi="Palatino Linotype" w:cs="Palatino Linotype"/>
        <w:i/>
        <w:sz w:val="16"/>
        <w:szCs w:val="16"/>
      </w:rPr>
      <w:t xml:space="preserve">Komunitas: Jurnal Pengembangan Masyarakat Islam </w:t>
    </w:r>
    <w:r w:rsidR="004F3CA5">
      <w:rPr>
        <w:rFonts w:ascii="Palatino Linotype" w:eastAsia="Palatino Linotype" w:hAnsi="Palatino Linotype" w:cs="Palatino Linotype"/>
        <w:i/>
        <w:sz w:val="16"/>
        <w:szCs w:val="16"/>
      </w:rPr>
      <w:t>16</w:t>
    </w:r>
    <w:r>
      <w:rPr>
        <w:rFonts w:ascii="Palatino Linotype" w:eastAsia="Palatino Linotype" w:hAnsi="Palatino Linotype" w:cs="Palatino Linotype"/>
        <w:i/>
        <w:sz w:val="16"/>
        <w:szCs w:val="16"/>
      </w:rPr>
      <w:t xml:space="preserve">, </w:t>
    </w:r>
    <w:r w:rsidR="004F3CA5">
      <w:rPr>
        <w:rFonts w:ascii="Palatino Linotype" w:eastAsia="Palatino Linotype" w:hAnsi="Palatino Linotype" w:cs="Palatino Linotype"/>
        <w:i/>
        <w:sz w:val="16"/>
        <w:szCs w:val="16"/>
      </w:rPr>
      <w:t>1</w:t>
    </w:r>
    <w:r>
      <w:rPr>
        <w:rFonts w:ascii="Palatino Linotype" w:eastAsia="Palatino Linotype" w:hAnsi="Palatino Linotype" w:cs="Palatino Linotype"/>
        <w:i/>
        <w:sz w:val="16"/>
        <w:szCs w:val="16"/>
      </w:rPr>
      <w:t xml:space="preserve"> (</w:t>
    </w:r>
    <w:r w:rsidR="004F3CA5">
      <w:rPr>
        <w:rFonts w:ascii="Palatino Linotype" w:eastAsia="Palatino Linotype" w:hAnsi="Palatino Linotype" w:cs="Palatino Linotype"/>
        <w:i/>
        <w:sz w:val="16"/>
        <w:szCs w:val="16"/>
      </w:rPr>
      <w:t>2025</w:t>
    </w:r>
    <w:r>
      <w:rPr>
        <w:rFonts w:ascii="Palatino Linotype" w:eastAsia="Palatino Linotype" w:hAnsi="Palatino Linotype" w:cs="Palatino Linotype"/>
        <w:i/>
        <w:sz w:val="16"/>
        <w:szCs w:val="16"/>
      </w:rPr>
      <w:t xml:space="preserve">): </w:t>
    </w:r>
    <w:r w:rsidR="004F3CA5">
      <w:rPr>
        <w:rFonts w:ascii="Palatino Linotype" w:eastAsia="Palatino Linotype" w:hAnsi="Palatino Linotype" w:cs="Palatino Linotype"/>
        <w:i/>
        <w:sz w:val="16"/>
        <w:szCs w:val="16"/>
      </w:rPr>
      <w:t>36</w:t>
    </w:r>
    <w:r>
      <w:rPr>
        <w:rFonts w:ascii="Palatino Linotype" w:eastAsia="Palatino Linotype" w:hAnsi="Palatino Linotype" w:cs="Palatino Linotype"/>
        <w:i/>
        <w:sz w:val="16"/>
        <w:szCs w:val="16"/>
      </w:rPr>
      <w:t>-</w:t>
    </w:r>
    <w:r w:rsidR="004F3CA5">
      <w:rPr>
        <w:rFonts w:ascii="Palatino Linotype" w:eastAsia="Palatino Linotype" w:hAnsi="Palatino Linotype" w:cs="Palatino Linotype"/>
        <w:i/>
        <w:sz w:val="16"/>
        <w:szCs w:val="16"/>
      </w:rPr>
      <w:t>48</w:t>
    </w:r>
    <w:r>
      <w:rPr>
        <w:rFonts w:ascii="Palatino Linotype" w:eastAsia="Palatino Linotype" w:hAnsi="Palatino Linotype" w:cs="Palatino Linotype"/>
        <w:sz w:val="16"/>
        <w:szCs w:val="16"/>
      </w:rPr>
      <w:tab/>
    </w:r>
    <w:r>
      <w:rPr>
        <w:rFonts w:ascii="Palatino Linotype" w:eastAsia="Palatino Linotype" w:hAnsi="Palatino Linotype" w:cs="Palatino Linotype"/>
        <w:sz w:val="16"/>
        <w:szCs w:val="16"/>
      </w:rPr>
      <w:fldChar w:fldCharType="begin"/>
    </w:r>
    <w:r>
      <w:rPr>
        <w:rFonts w:ascii="Palatino Linotype" w:eastAsia="Palatino Linotype" w:hAnsi="Palatino Linotype" w:cs="Palatino Linotype"/>
        <w:sz w:val="16"/>
        <w:szCs w:val="16"/>
      </w:rPr>
      <w:instrText>PAGE</w:instrText>
    </w:r>
    <w:r>
      <w:rPr>
        <w:rFonts w:ascii="Palatino Linotype" w:eastAsia="Palatino Linotype" w:hAnsi="Palatino Linotype" w:cs="Palatino Linotype"/>
        <w:sz w:val="16"/>
        <w:szCs w:val="16"/>
      </w:rPr>
      <w:fldChar w:fldCharType="separate"/>
    </w:r>
    <w:r w:rsidR="009D4016">
      <w:rPr>
        <w:rFonts w:ascii="Palatino Linotype" w:eastAsia="Palatino Linotype" w:hAnsi="Palatino Linotype" w:cs="Palatino Linotype"/>
        <w:noProof/>
        <w:sz w:val="16"/>
        <w:szCs w:val="16"/>
      </w:rPr>
      <w:t>7</w:t>
    </w:r>
    <w:r>
      <w:rPr>
        <w:rFonts w:ascii="Palatino Linotype" w:eastAsia="Palatino Linotype" w:hAnsi="Palatino Linotype" w:cs="Palatino Linotype"/>
        <w:sz w:val="16"/>
        <w:szCs w:val="16"/>
      </w:rPr>
      <w:fldChar w:fldCharType="end"/>
    </w:r>
    <w:r>
      <w:rPr>
        <w:rFonts w:ascii="Palatino Linotype" w:eastAsia="Palatino Linotype" w:hAnsi="Palatino Linotype" w:cs="Palatino Linotype"/>
        <w:sz w:val="16"/>
        <w:szCs w:val="16"/>
      </w:rPr>
      <w:t xml:space="preserve"> </w:t>
    </w:r>
    <w:proofErr w:type="spellStart"/>
    <w:r>
      <w:rPr>
        <w:rFonts w:ascii="Palatino Linotype" w:eastAsia="Palatino Linotype" w:hAnsi="Palatino Linotype" w:cs="Palatino Linotype"/>
        <w:sz w:val="16"/>
        <w:szCs w:val="16"/>
      </w:rPr>
      <w:t>dari</w:t>
    </w:r>
    <w:proofErr w:type="spellEnd"/>
    <w:r>
      <w:rPr>
        <w:rFonts w:ascii="Palatino Linotype" w:eastAsia="Palatino Linotype" w:hAnsi="Palatino Linotype" w:cs="Palatino Linotype"/>
        <w:sz w:val="16"/>
        <w:szCs w:val="16"/>
      </w:rPr>
      <w:t xml:space="preserve"> </w:t>
    </w:r>
    <w:r w:rsidR="004F3CA5">
      <w:rPr>
        <w:rFonts w:ascii="Palatino Linotype" w:eastAsia="Palatino Linotype" w:hAnsi="Palatino Linotype" w:cs="Palatino Linotype"/>
        <w:sz w:val="16"/>
        <w:szCs w:val="16"/>
      </w:rPr>
      <w:t>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2122" w:rsidRDefault="005A3C34">
    <w:pPr>
      <w:pBdr>
        <w:top w:val="nil"/>
        <w:left w:val="nil"/>
        <w:bottom w:val="nil"/>
        <w:right w:val="nil"/>
        <w:between w:val="nil"/>
      </w:pBdr>
      <w:spacing w:after="0" w:line="240" w:lineRule="auto"/>
      <w:rPr>
        <w:rFonts w:ascii="Palatino Linotype" w:eastAsia="Palatino Linotype" w:hAnsi="Palatino Linotype" w:cs="Palatino Linotype"/>
        <w:i/>
        <w:color w:val="000000"/>
        <w:sz w:val="24"/>
        <w:szCs w:val="24"/>
      </w:rPr>
    </w:pPr>
    <w:r>
      <w:rPr>
        <w:rFonts w:ascii="Palatino Linotype" w:eastAsia="Palatino Linotype" w:hAnsi="Palatino Linotype" w:cs="Palatino Linotype"/>
        <w:i/>
        <w:color w:val="000000"/>
        <w:sz w:val="24"/>
        <w:szCs w:val="24"/>
      </w:rPr>
      <w:t>Komunitas: Jurnal Pengembangan Masyarakat Islam</w:t>
    </w:r>
  </w:p>
  <w:p w:rsidR="00E52122" w:rsidRDefault="005A3C34">
    <w:pPr>
      <w:pBdr>
        <w:top w:val="nil"/>
        <w:left w:val="nil"/>
        <w:bottom w:val="nil"/>
        <w:right w:val="nil"/>
        <w:between w:val="nil"/>
      </w:pBdr>
      <w:spacing w:after="0" w:line="240" w:lineRule="auto"/>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ISSN: 2540-9182 (online)</w:t>
    </w:r>
  </w:p>
  <w:p w:rsidR="00E52122" w:rsidRDefault="005A3C34">
    <w:pPr>
      <w:pBdr>
        <w:top w:val="nil"/>
        <w:left w:val="nil"/>
        <w:bottom w:val="nil"/>
        <w:right w:val="nil"/>
        <w:between w:val="nil"/>
      </w:pBdr>
      <w:spacing w:after="0" w:line="240" w:lineRule="auto"/>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ISSN: 2086-3357 (print)</w:t>
    </w:r>
  </w:p>
  <w:p w:rsidR="00E52122" w:rsidRDefault="00E5212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27CB472"/>
    <w:lvl w:ilvl="0">
      <w:start w:val="1"/>
      <w:numFmt w:val="decimal"/>
      <w:pStyle w:val="JW21heading1"/>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 w15:restartNumberingAfterBreak="0">
    <w:nsid w:val="00000002"/>
    <w:multiLevelType w:val="hybridMultilevel"/>
    <w:tmpl w:val="702A6BDC"/>
    <w:lvl w:ilvl="0" w:tplc="CB7602CA">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multilevel"/>
    <w:tmpl w:val="54F6D696"/>
    <w:lvl w:ilvl="0">
      <w:start w:val="1"/>
      <w:numFmt w:val="decimal"/>
      <w:pStyle w:val="JW37itemiz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4"/>
    <w:multiLevelType w:val="multilevel"/>
    <w:tmpl w:val="F0E29128"/>
    <w:lvl w:ilvl="0">
      <w:start w:val="1"/>
      <w:numFmt w:val="decimal"/>
      <w:pStyle w:val="JW38bullet"/>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0000005"/>
    <w:multiLevelType w:val="hybridMultilevel"/>
    <w:tmpl w:val="759A0404"/>
    <w:lvl w:ilvl="0" w:tplc="C66CAF86">
      <w:start w:val="1"/>
      <w:numFmt w:val="decimal"/>
      <w:lvlText w:val="2.%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1BDC0598"/>
    <w:multiLevelType w:val="multilevel"/>
    <w:tmpl w:val="D5407F36"/>
    <w:lvl w:ilvl="0">
      <w:start w:val="1"/>
      <w:numFmt w:val="bullet"/>
      <w:lvlText w:val="●"/>
      <w:lvlJc w:val="left"/>
      <w:pPr>
        <w:ind w:left="5889" w:hanging="360"/>
      </w:pPr>
      <w:rPr>
        <w:rFonts w:ascii="Noto Sans Symbols" w:eastAsia="Noto Sans Symbols" w:hAnsi="Noto Sans Symbols" w:cs="Noto Sans Symbols"/>
      </w:rPr>
    </w:lvl>
    <w:lvl w:ilvl="1">
      <w:start w:val="1"/>
      <w:numFmt w:val="bullet"/>
      <w:lvlText w:val="o"/>
      <w:lvlJc w:val="left"/>
      <w:pPr>
        <w:ind w:left="6609" w:hanging="360"/>
      </w:pPr>
      <w:rPr>
        <w:rFonts w:ascii="Courier New" w:eastAsia="Courier New" w:hAnsi="Courier New" w:cs="Courier New"/>
      </w:rPr>
    </w:lvl>
    <w:lvl w:ilvl="2">
      <w:start w:val="1"/>
      <w:numFmt w:val="bullet"/>
      <w:lvlText w:val="▪"/>
      <w:lvlJc w:val="left"/>
      <w:pPr>
        <w:ind w:left="7329" w:hanging="360"/>
      </w:pPr>
      <w:rPr>
        <w:rFonts w:ascii="Noto Sans Symbols" w:eastAsia="Noto Sans Symbols" w:hAnsi="Noto Sans Symbols" w:cs="Noto Sans Symbols"/>
      </w:rPr>
    </w:lvl>
    <w:lvl w:ilvl="3">
      <w:start w:val="1"/>
      <w:numFmt w:val="bullet"/>
      <w:lvlText w:val="●"/>
      <w:lvlJc w:val="left"/>
      <w:pPr>
        <w:ind w:left="8049" w:hanging="360"/>
      </w:pPr>
      <w:rPr>
        <w:rFonts w:ascii="Noto Sans Symbols" w:eastAsia="Noto Sans Symbols" w:hAnsi="Noto Sans Symbols" w:cs="Noto Sans Symbols"/>
      </w:rPr>
    </w:lvl>
    <w:lvl w:ilvl="4">
      <w:start w:val="1"/>
      <w:numFmt w:val="bullet"/>
      <w:lvlText w:val="o"/>
      <w:lvlJc w:val="left"/>
      <w:pPr>
        <w:ind w:left="8769" w:hanging="360"/>
      </w:pPr>
      <w:rPr>
        <w:rFonts w:ascii="Courier New" w:eastAsia="Courier New" w:hAnsi="Courier New" w:cs="Courier New"/>
      </w:rPr>
    </w:lvl>
    <w:lvl w:ilvl="5">
      <w:start w:val="1"/>
      <w:numFmt w:val="bullet"/>
      <w:lvlText w:val="▪"/>
      <w:lvlJc w:val="left"/>
      <w:pPr>
        <w:ind w:left="9489" w:hanging="360"/>
      </w:pPr>
      <w:rPr>
        <w:rFonts w:ascii="Noto Sans Symbols" w:eastAsia="Noto Sans Symbols" w:hAnsi="Noto Sans Symbols" w:cs="Noto Sans Symbols"/>
      </w:rPr>
    </w:lvl>
    <w:lvl w:ilvl="6">
      <w:start w:val="1"/>
      <w:numFmt w:val="bullet"/>
      <w:lvlText w:val="●"/>
      <w:lvlJc w:val="left"/>
      <w:pPr>
        <w:ind w:left="10209" w:hanging="360"/>
      </w:pPr>
      <w:rPr>
        <w:rFonts w:ascii="Noto Sans Symbols" w:eastAsia="Noto Sans Symbols" w:hAnsi="Noto Sans Symbols" w:cs="Noto Sans Symbols"/>
      </w:rPr>
    </w:lvl>
    <w:lvl w:ilvl="7">
      <w:start w:val="1"/>
      <w:numFmt w:val="bullet"/>
      <w:lvlText w:val="o"/>
      <w:lvlJc w:val="left"/>
      <w:pPr>
        <w:ind w:left="10929" w:hanging="360"/>
      </w:pPr>
      <w:rPr>
        <w:rFonts w:ascii="Courier New" w:eastAsia="Courier New" w:hAnsi="Courier New" w:cs="Courier New"/>
      </w:rPr>
    </w:lvl>
    <w:lvl w:ilvl="8">
      <w:start w:val="1"/>
      <w:numFmt w:val="bullet"/>
      <w:lvlText w:val="▪"/>
      <w:lvlJc w:val="left"/>
      <w:pPr>
        <w:ind w:left="11649" w:hanging="360"/>
      </w:pPr>
      <w:rPr>
        <w:rFonts w:ascii="Noto Sans Symbols" w:eastAsia="Noto Sans Symbols" w:hAnsi="Noto Sans Symbols" w:cs="Noto Sans Symbols"/>
      </w:rPr>
    </w:lvl>
  </w:abstractNum>
  <w:num w:numId="1" w16cid:durableId="1894075419">
    <w:abstractNumId w:val="0"/>
  </w:num>
  <w:num w:numId="2" w16cid:durableId="858468308">
    <w:abstractNumId w:val="2"/>
  </w:num>
  <w:num w:numId="3" w16cid:durableId="133300843">
    <w:abstractNumId w:val="3"/>
  </w:num>
  <w:num w:numId="4" w16cid:durableId="588779515">
    <w:abstractNumId w:val="5"/>
  </w:num>
  <w:num w:numId="5" w16cid:durableId="1914926843">
    <w:abstractNumId w:val="4"/>
  </w:num>
  <w:num w:numId="6" w16cid:durableId="2067996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122"/>
    <w:rsid w:val="0007282F"/>
    <w:rsid w:val="000A4F4C"/>
    <w:rsid w:val="00191B21"/>
    <w:rsid w:val="002A01BA"/>
    <w:rsid w:val="002B25CC"/>
    <w:rsid w:val="002E7DE3"/>
    <w:rsid w:val="0048699C"/>
    <w:rsid w:val="004F3CA5"/>
    <w:rsid w:val="005A3C34"/>
    <w:rsid w:val="005C07A3"/>
    <w:rsid w:val="008D31B6"/>
    <w:rsid w:val="009D4016"/>
    <w:rsid w:val="00C3009A"/>
    <w:rsid w:val="00C83ABD"/>
    <w:rsid w:val="00DD2F16"/>
    <w:rsid w:val="00E06D77"/>
    <w:rsid w:val="00E52122"/>
    <w:rsid w:val="00F55FE8"/>
    <w:rsid w:val="00FE6D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197C5"/>
  <w15:docId w15:val="{8DA0B0E6-9BD4-7147-A8FD-70BF8857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JW12title">
    <w:name w:val="JW_1.2_title"/>
    <w:next w:val="JW13authornames"/>
    <w:qFormat/>
    <w:pPr>
      <w:adjustRightInd w:val="0"/>
      <w:snapToGrid w:val="0"/>
      <w:spacing w:before="240"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JW13authornames">
    <w:name w:val="JW_1.3_authornames"/>
    <w:basedOn w:val="Normal"/>
    <w:next w:val="JW14history"/>
    <w:qFormat/>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JW14history">
    <w:name w:val="JW_1.4_history"/>
    <w:basedOn w:val="Normal"/>
    <w:next w:val="Normal"/>
    <w:qFormat/>
    <w:pPr>
      <w:adjustRightInd w:val="0"/>
      <w:snapToGrid w:val="0"/>
      <w:spacing w:before="120" w:after="0" w:line="200" w:lineRule="atLeast"/>
      <w:ind w:left="113"/>
    </w:pPr>
    <w:rPr>
      <w:rFonts w:ascii="Palatino Linotype" w:eastAsia="Times New Roman" w:hAnsi="Palatino Linotype" w:cs="Times New Roman"/>
      <w:color w:val="000000"/>
      <w:sz w:val="18"/>
      <w:szCs w:val="20"/>
      <w:lang w:eastAsia="de-DE" w:bidi="en-US"/>
    </w:rPr>
  </w:style>
  <w:style w:type="paragraph" w:customStyle="1" w:styleId="JW16affiliation">
    <w:name w:val="JW_1.6_affiliation"/>
    <w:basedOn w:val="Normal"/>
    <w:qFormat/>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JW2authorcorrespondence">
    <w:name w:val="JW_2_author_correspondence"/>
    <w:qFormat/>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JW17abstract">
    <w:name w:val="JW_1.7_abstract"/>
    <w:basedOn w:val="JW31text"/>
    <w:next w:val="JW18keywords"/>
    <w:qFormat/>
    <w:pPr>
      <w:spacing w:before="240"/>
      <w:ind w:left="113" w:firstLine="0"/>
    </w:pPr>
    <w:rPr>
      <w:snapToGrid/>
    </w:rPr>
  </w:style>
  <w:style w:type="paragraph" w:customStyle="1" w:styleId="JW18keywords">
    <w:name w:val="JW_1.8_keywords"/>
    <w:basedOn w:val="JW31text"/>
    <w:next w:val="Normal"/>
    <w:qFormat/>
    <w:pPr>
      <w:spacing w:before="240"/>
      <w:ind w:left="113" w:firstLine="0"/>
    </w:pPr>
  </w:style>
  <w:style w:type="paragraph" w:customStyle="1" w:styleId="JW19line">
    <w:name w:val="JW_1.9_line"/>
    <w:basedOn w:val="JW31text"/>
    <w:qFormat/>
    <w:pPr>
      <w:pBdr>
        <w:bottom w:val="single" w:sz="6" w:space="1" w:color="auto"/>
      </w:pBdr>
      <w:ind w:firstLine="0"/>
    </w:pPr>
    <w:rPr>
      <w:snapToGrid/>
      <w:szCs w:val="24"/>
    </w:rPr>
  </w:style>
  <w:style w:type="paragraph" w:customStyle="1" w:styleId="JW31text">
    <w:name w:val="JW_3.1_text"/>
    <w:qFormat/>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JW21heading1">
    <w:name w:val="JW_2.1_heading1"/>
    <w:basedOn w:val="Normal"/>
    <w:qFormat/>
    <w:pPr>
      <w:numPr>
        <w:numId w:val="1"/>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eastAsia="zh-CN" w:bidi="en-US"/>
    </w:rPr>
  </w:style>
  <w:style w:type="paragraph" w:customStyle="1" w:styleId="JW32textnoindent">
    <w:name w:val="JW_3.2_text_no_indent"/>
    <w:basedOn w:val="JW31text"/>
    <w:qFormat/>
    <w:pPr>
      <w:ind w:firstLine="0"/>
    </w:pPr>
  </w:style>
  <w:style w:type="paragraph" w:customStyle="1" w:styleId="JW33textspaceafter">
    <w:name w:val="JW_3.3_text_space_after"/>
    <w:basedOn w:val="JW31text"/>
    <w:qFormat/>
    <w:pPr>
      <w:spacing w:after="240"/>
    </w:pPr>
  </w:style>
  <w:style w:type="paragraph" w:customStyle="1" w:styleId="JW34textspacebefore">
    <w:name w:val="JW_3.4_text_space_before"/>
    <w:basedOn w:val="JW31text"/>
    <w:qFormat/>
    <w:pPr>
      <w:spacing w:before="240"/>
    </w:pPr>
  </w:style>
  <w:style w:type="paragraph" w:customStyle="1" w:styleId="JW35textbeforelist">
    <w:name w:val="JW_3.5_text_before_list"/>
    <w:basedOn w:val="JW31text"/>
    <w:qFormat/>
    <w:pPr>
      <w:spacing w:after="120"/>
    </w:pPr>
  </w:style>
  <w:style w:type="paragraph" w:customStyle="1" w:styleId="JW36textafterlist">
    <w:name w:val="JW_3.6_text_after_list"/>
    <w:basedOn w:val="JW31text"/>
    <w:qFormat/>
    <w:pPr>
      <w:spacing w:before="120"/>
    </w:pPr>
  </w:style>
  <w:style w:type="paragraph" w:customStyle="1" w:styleId="JW37itemize">
    <w:name w:val="JW_3.7_itemize"/>
    <w:basedOn w:val="JW31text"/>
    <w:qFormat/>
    <w:pPr>
      <w:numPr>
        <w:numId w:val="2"/>
      </w:numPr>
      <w:ind w:left="425" w:hanging="425"/>
    </w:pPr>
  </w:style>
  <w:style w:type="paragraph" w:customStyle="1" w:styleId="JW38bullet">
    <w:name w:val="JW_3.8_bullet"/>
    <w:basedOn w:val="JW31text"/>
    <w:qFormat/>
    <w:pPr>
      <w:numPr>
        <w:numId w:val="3"/>
      </w:numPr>
      <w:ind w:left="425" w:hanging="425"/>
    </w:pPr>
  </w:style>
  <w:style w:type="paragraph" w:customStyle="1" w:styleId="JW39equation">
    <w:name w:val="JW_3.9_equation"/>
    <w:basedOn w:val="JW31text"/>
    <w:qFormat/>
    <w:pPr>
      <w:spacing w:before="120" w:after="120"/>
      <w:ind w:left="709" w:firstLine="0"/>
      <w:jc w:val="center"/>
    </w:pPr>
  </w:style>
  <w:style w:type="paragraph" w:customStyle="1" w:styleId="JW3aequationnumber">
    <w:name w:val="JW_3.a_equation_number"/>
    <w:basedOn w:val="JW31text"/>
    <w:pPr>
      <w:spacing w:before="120" w:after="120" w:line="240" w:lineRule="auto"/>
      <w:ind w:firstLine="0"/>
      <w:jc w:val="right"/>
    </w:pPr>
  </w:style>
  <w:style w:type="paragraph" w:customStyle="1" w:styleId="JW62Acknowledgments">
    <w:name w:val="JW_6.2_Acknowledgments"/>
    <w:qFormat/>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JW41tablecaption">
    <w:name w:val="JW_4.1_table_caption"/>
    <w:basedOn w:val="JW62Acknowledgments"/>
    <w:qFormat/>
    <w:pPr>
      <w:spacing w:before="240" w:after="120" w:line="260" w:lineRule="atLeast"/>
      <w:ind w:left="425" w:right="425"/>
    </w:pPr>
    <w:rPr>
      <w:snapToGrid/>
      <w:szCs w:val="22"/>
    </w:rPr>
  </w:style>
  <w:style w:type="paragraph" w:customStyle="1" w:styleId="JW42tablebody">
    <w:name w:val="JW_4.2_table_body"/>
    <w:qFormat/>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JW43tablefooter">
    <w:name w:val="JW_4.3_table_footer"/>
    <w:basedOn w:val="JW41tablecaption"/>
    <w:next w:val="JW31text"/>
    <w:qFormat/>
    <w:pPr>
      <w:spacing w:before="0"/>
      <w:ind w:left="0" w:right="0"/>
    </w:pPr>
  </w:style>
  <w:style w:type="paragraph" w:customStyle="1" w:styleId="JW51figurecaption">
    <w:name w:val="JW_5.1_figure_caption"/>
    <w:basedOn w:val="JW62Acknowledgments"/>
    <w:qFormat/>
    <w:pPr>
      <w:spacing w:after="240" w:line="260" w:lineRule="atLeast"/>
      <w:ind w:left="425" w:right="425"/>
    </w:pPr>
    <w:rPr>
      <w:snapToGrid/>
    </w:rPr>
  </w:style>
  <w:style w:type="paragraph" w:customStyle="1" w:styleId="JW52figure">
    <w:name w:val="JW_5.2_figure"/>
    <w:qFormat/>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headerjournallogo">
    <w:name w:val="MDPI_header_journal_logo"/>
    <w:qFormat/>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JW81Quote">
    <w:name w:val="JW_8.1_Quote"/>
    <w:basedOn w:val="JW32textnoindent"/>
    <w:qFormat/>
    <w:pPr>
      <w:ind w:left="426"/>
    </w:pPr>
    <w:rPr>
      <w:iCs/>
    </w:rPr>
  </w:style>
  <w:style w:type="paragraph" w:customStyle="1" w:styleId="JW23heading3">
    <w:name w:val="JW_2.3_heading3"/>
    <w:basedOn w:val="JW31text"/>
    <w:qFormat/>
    <w:pPr>
      <w:spacing w:before="240" w:after="120"/>
      <w:ind w:firstLine="0"/>
      <w:jc w:val="left"/>
      <w:outlineLvl w:val="2"/>
    </w:pPr>
  </w:style>
  <w:style w:type="paragraph" w:customStyle="1" w:styleId="JW22heading2">
    <w:name w:val="JW_2.2_heading2"/>
    <w:basedOn w:val="Normal"/>
    <w:qFormat/>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paragraph" w:customStyle="1" w:styleId="JW71References">
    <w:name w:val="JW_7.1_References"/>
    <w:basedOn w:val="Normal"/>
    <w:qFormat/>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rPr>
      <w:color w:val="0563C1"/>
      <w:u w:val="single"/>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JW11articletype">
    <w:name w:val="JW_1.1_article_type"/>
    <w:basedOn w:val="Normal"/>
    <w:next w:val="Normal"/>
    <w:qFormat/>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character" w:customStyle="1" w:styleId="UnresolvedMention1">
    <w:name w:val="Unresolved Mention1"/>
    <w:basedOn w:val="DefaultParagraphFont"/>
    <w:uiPriority w:val="99"/>
    <w:rPr>
      <w:color w:val="605E5C"/>
      <w:shd w:val="clear" w:color="auto" w:fill="E1DFDD"/>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styleId="Caption">
    <w:name w:val="caption"/>
    <w:basedOn w:val="Normal"/>
    <w:next w:val="Normal"/>
    <w:uiPriority w:val="35"/>
    <w:qFormat/>
    <w:pPr>
      <w:spacing w:after="200" w:line="240" w:lineRule="auto"/>
    </w:pPr>
    <w:rPr>
      <w:i/>
      <w:iCs/>
      <w:color w:val="44546A"/>
      <w:sz w:val="18"/>
      <w:szCs w:val="1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pPr>
      <w:ind w:left="720"/>
      <w:contextualSpacing/>
    </w:pPr>
  </w:style>
  <w:style w:type="character" w:customStyle="1" w:styleId="UnresolvedMention2">
    <w:name w:val="Unresolved Mention2"/>
    <w:basedOn w:val="DefaultParagraphFont"/>
    <w:uiPriority w:val="99"/>
    <w:rPr>
      <w:color w:val="605E5C"/>
      <w:shd w:val="clear" w:color="auto" w:fill="E1DFDD"/>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gbQxquvmab8VCAcy+y1qvh1W4fXw==">AMUW2mW4drwDyuf6o07VDa/Cl531H+5GvRx79LDqj2br/cklavXJlI7iu4+lMMZPMTawUX4amy6QarWojSh/czVa41cOawVhQYjh6rOyjbiScKY8UZuPKMUuT5KOss5h7/PWdP7zki35B6riCCI7IujM92+Gx5XOyg==</go:docsCustomData>
</go:gDocsCustomXmlDataStorage>
</file>

<file path=customXml/item5.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FB5206E-2B6F-44FD-A72D-B7C35FB997DE}">
  <ds:schemaRefs>
    <ds:schemaRef ds:uri="http://www.wps.cn/android/officeDocument/2013/mofficeCustomData"/>
  </ds:schemaRefs>
</ds:datastoreItem>
</file>

<file path=customXml/itemProps2.xml><?xml version="1.0" encoding="utf-8"?>
<ds:datastoreItem xmlns:ds="http://schemas.openxmlformats.org/officeDocument/2006/customXml" ds:itemID="{6B84743C-E991-4D40-8930-F5EFC1733343}">
  <ds:schemaRefs>
    <ds:schemaRef ds:uri="http://www.wps.cn/android/officeDocument/2013/mofficeCustomData"/>
  </ds:schemaRefs>
</ds:datastoreItem>
</file>

<file path=customXml/itemProps3.xml><?xml version="1.0" encoding="utf-8"?>
<ds:datastoreItem xmlns:ds="http://schemas.openxmlformats.org/officeDocument/2006/customXml" ds:itemID="{90795FB6-7CB5-42DD-8641-45B51DD6BB3A}">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7A867CF-D066-4CB3-846A-C8045FF8DEDF}">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8433</Words>
  <Characters>48069</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Amrulloh</dc:creator>
  <cp:lastModifiedBy>Microsoft Office User</cp:lastModifiedBy>
  <cp:revision>6</cp:revision>
  <dcterms:created xsi:type="dcterms:W3CDTF">2025-06-29T06:04:00Z</dcterms:created>
  <dcterms:modified xsi:type="dcterms:W3CDTF">2025-06-30T01:34:00Z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77ca1485-dae5-3308-9719-f8329406e0d3</vt:lpwstr>
  </property>
  <property fmtid="{D5CDD505-2E9C-101B-9397-08002B2CF9AE}" pid="24" name="Mendeley Citation Style_1">
    <vt:lpwstr>http://www.zotero.org/styles/apa-6th-edition</vt:lpwstr>
  </property>
  <property fmtid="{D5CDD505-2E9C-101B-9397-08002B2CF9AE}" pid="25" name="ICV">
    <vt:lpwstr>0165ae43f0624013aa848ae073d64e95</vt:lpwstr>
  </property>
</Properties>
</file>