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1C3A" w:rsidRDefault="00761C3A">
      <w:pPr>
        <w:pBdr>
          <w:top w:val="nil"/>
          <w:left w:val="nil"/>
          <w:bottom w:val="nil"/>
          <w:right w:val="nil"/>
          <w:between w:val="nil"/>
        </w:pBdr>
        <w:spacing w:after="0"/>
        <w:jc w:val="both"/>
        <w:rPr>
          <w:rFonts w:ascii="Arial" w:eastAsia="Arial" w:hAnsi="Arial" w:cs="Arial"/>
          <w:b/>
          <w:color w:val="000000"/>
          <w:sz w:val="20"/>
          <w:szCs w:val="20"/>
        </w:rPr>
      </w:pPr>
    </w:p>
    <w:p w:rsidR="00761C3A" w:rsidRDefault="008A4F7A">
      <w:pPr>
        <w:pBdr>
          <w:top w:val="nil"/>
          <w:left w:val="nil"/>
          <w:bottom w:val="nil"/>
          <w:right w:val="nil"/>
          <w:between w:val="nil"/>
        </w:pBdr>
        <w:spacing w:after="0" w:line="240" w:lineRule="auto"/>
        <w:jc w:val="both"/>
        <w:rPr>
          <w:rFonts w:ascii="Arial" w:eastAsia="Arial" w:hAnsi="Arial" w:cs="Arial"/>
          <w:b/>
          <w:color w:val="000000"/>
          <w:sz w:val="26"/>
          <w:szCs w:val="26"/>
          <w:lang w:val="de-LU"/>
        </w:rPr>
      </w:pPr>
      <w:r w:rsidRPr="008A4F7A">
        <w:rPr>
          <w:rFonts w:ascii="Arial" w:eastAsia="Arial" w:hAnsi="Arial" w:cs="Arial"/>
          <w:b/>
          <w:bCs/>
          <w:color w:val="000000"/>
          <w:sz w:val="26"/>
          <w:szCs w:val="26"/>
          <w:lang w:val="de-LU"/>
        </w:rPr>
        <w:t>Navigating Modernization: Challenges and Strategies for Muslim Society in Indonesia</w:t>
      </w:r>
    </w:p>
    <w:p w:rsidR="00761C3A" w:rsidRDefault="00761C3A">
      <w:pPr>
        <w:pBdr>
          <w:top w:val="nil"/>
          <w:left w:val="nil"/>
          <w:bottom w:val="nil"/>
          <w:right w:val="nil"/>
          <w:between w:val="nil"/>
        </w:pBdr>
        <w:spacing w:after="120"/>
        <w:rPr>
          <w:rFonts w:ascii="Arial" w:eastAsia="Arial" w:hAnsi="Arial" w:cs="Arial"/>
          <w:b/>
          <w:color w:val="000000"/>
          <w:sz w:val="20"/>
          <w:szCs w:val="20"/>
          <w:lang w:val="de-LU"/>
        </w:rPr>
      </w:pPr>
    </w:p>
    <w:p w:rsidR="00761C3A" w:rsidRDefault="00E85B7D">
      <w:pPr>
        <w:pBdr>
          <w:top w:val="nil"/>
          <w:left w:val="nil"/>
          <w:bottom w:val="nil"/>
          <w:right w:val="nil"/>
          <w:between w:val="nil"/>
        </w:pBdr>
        <w:spacing w:after="120"/>
        <w:rPr>
          <w:rFonts w:ascii="Arial" w:eastAsia="Arial" w:hAnsi="Arial" w:cs="Arial"/>
          <w:b/>
          <w:color w:val="000000"/>
          <w:sz w:val="20"/>
          <w:szCs w:val="20"/>
          <w:lang w:val="de-LU"/>
        </w:rPr>
      </w:pPr>
      <w:r>
        <w:rPr>
          <w:rFonts w:ascii="Arial" w:eastAsia="Arial" w:hAnsi="Arial" w:cs="Arial"/>
          <w:b/>
          <w:color w:val="000000"/>
          <w:sz w:val="20"/>
          <w:szCs w:val="20"/>
          <w:lang w:val="de-LU"/>
        </w:rPr>
        <w:t>Alwin</w:t>
      </w:r>
      <w:r>
        <w:rPr>
          <w:rFonts w:ascii="Arial" w:eastAsia="Arial" w:hAnsi="Arial" w:cs="Arial"/>
          <w:b/>
          <w:color w:val="000000"/>
          <w:sz w:val="20"/>
          <w:szCs w:val="20"/>
          <w:vertAlign w:val="superscript"/>
          <w:lang w:val="de-LU"/>
        </w:rPr>
        <w:t>*1</w:t>
      </w:r>
      <w:r>
        <w:rPr>
          <w:rFonts w:ascii="Arial" w:eastAsia="Arial" w:hAnsi="Arial" w:cs="Arial"/>
          <w:b/>
          <w:color w:val="000000"/>
          <w:sz w:val="20"/>
          <w:szCs w:val="20"/>
          <w:lang w:val="de-LU"/>
        </w:rPr>
        <w:t>, Malta Anantyasari</w:t>
      </w:r>
      <w:r>
        <w:rPr>
          <w:rFonts w:ascii="Arial" w:eastAsia="Arial" w:hAnsi="Arial" w:cs="Arial"/>
          <w:b/>
          <w:color w:val="000000"/>
          <w:sz w:val="20"/>
          <w:szCs w:val="20"/>
          <w:vertAlign w:val="superscript"/>
          <w:lang w:val="de-LU"/>
        </w:rPr>
        <w:t>2</w:t>
      </w:r>
    </w:p>
    <w:p w:rsidR="00761C3A" w:rsidRDefault="00E85B7D">
      <w:pPr>
        <w:spacing w:after="0" w:line="256" w:lineRule="auto"/>
        <w:contextualSpacing/>
        <w:rPr>
          <w:rFonts w:ascii="Arial" w:eastAsia="Book Antiqua" w:hAnsi="Arial" w:cs="Arial"/>
          <w:iCs/>
          <w:sz w:val="18"/>
          <w:szCs w:val="18"/>
          <w:lang w:val="de-LU"/>
        </w:rPr>
      </w:pPr>
      <w:r>
        <w:rPr>
          <w:rFonts w:ascii="Arial" w:eastAsia="Arial" w:hAnsi="Arial" w:cs="Arial"/>
          <w:color w:val="000000"/>
          <w:sz w:val="18"/>
          <w:szCs w:val="18"/>
          <w:vertAlign w:val="superscript"/>
          <w:lang w:val="de-LU"/>
        </w:rPr>
        <w:t>1</w:t>
      </w:r>
      <w:r>
        <w:rPr>
          <w:rFonts w:ascii="Arial" w:eastAsia="Arial" w:hAnsi="Arial" w:cs="Arial"/>
          <w:color w:val="000000"/>
          <w:sz w:val="18"/>
          <w:szCs w:val="18"/>
          <w:lang w:val="de-LU"/>
        </w:rPr>
        <w:t xml:space="preserve">Institut Studi Islam </w:t>
      </w:r>
      <w:proofErr w:type="spellStart"/>
      <w:r>
        <w:rPr>
          <w:rFonts w:ascii="Arial" w:eastAsia="Arial" w:hAnsi="Arial" w:cs="Arial"/>
          <w:color w:val="000000"/>
          <w:sz w:val="18"/>
          <w:szCs w:val="18"/>
          <w:lang w:val="de-LU"/>
        </w:rPr>
        <w:t>Muhammadiyah</w:t>
      </w:r>
      <w:proofErr w:type="spellEnd"/>
      <w:r>
        <w:rPr>
          <w:rFonts w:ascii="Arial" w:eastAsia="Arial" w:hAnsi="Arial" w:cs="Arial"/>
          <w:color w:val="000000"/>
          <w:sz w:val="18"/>
          <w:szCs w:val="18"/>
          <w:lang w:val="de-LU"/>
        </w:rPr>
        <w:t xml:space="preserve"> </w:t>
      </w:r>
      <w:proofErr w:type="spellStart"/>
      <w:r>
        <w:rPr>
          <w:rFonts w:ascii="Arial" w:eastAsia="Arial" w:hAnsi="Arial" w:cs="Arial"/>
          <w:color w:val="000000"/>
          <w:sz w:val="18"/>
          <w:szCs w:val="18"/>
          <w:lang w:val="de-LU"/>
        </w:rPr>
        <w:t>Pacitan</w:t>
      </w:r>
      <w:proofErr w:type="spellEnd"/>
      <w:r>
        <w:rPr>
          <w:rFonts w:ascii="Arial" w:eastAsia="Arial" w:hAnsi="Arial" w:cs="Arial"/>
          <w:color w:val="000000"/>
          <w:sz w:val="18"/>
          <w:szCs w:val="18"/>
          <w:lang w:val="de-LU"/>
        </w:rPr>
        <w:t xml:space="preserve">; </w:t>
      </w:r>
      <w:hyperlink r:id="rId11" w:history="1">
        <w:r>
          <w:rPr>
            <w:rFonts w:ascii="Arial" w:eastAsia="Book Antiqua" w:hAnsi="Arial" w:cs="Arial"/>
            <w:iCs/>
            <w:sz w:val="18"/>
            <w:szCs w:val="18"/>
            <w:lang w:val="de-LU"/>
          </w:rPr>
          <w:t>win698978@gmail.com</w:t>
        </w:r>
      </w:hyperlink>
    </w:p>
    <w:p w:rsidR="00761C3A" w:rsidRDefault="00E85B7D">
      <w:pPr>
        <w:spacing w:after="0" w:line="256" w:lineRule="auto"/>
        <w:contextualSpacing/>
        <w:rPr>
          <w:rFonts w:ascii="Arial" w:eastAsia="Arial" w:hAnsi="Arial" w:cs="Arial"/>
          <w:color w:val="000000"/>
          <w:sz w:val="18"/>
          <w:szCs w:val="18"/>
          <w:lang w:val="de-LU"/>
        </w:rPr>
      </w:pPr>
      <w:r>
        <w:rPr>
          <w:rFonts w:ascii="Arial" w:eastAsia="Arial" w:hAnsi="Arial" w:cs="Arial"/>
          <w:color w:val="000000"/>
          <w:sz w:val="18"/>
          <w:szCs w:val="18"/>
          <w:vertAlign w:val="superscript"/>
          <w:lang w:val="de-LU"/>
        </w:rPr>
        <w:t>2</w:t>
      </w:r>
      <w:r>
        <w:rPr>
          <w:rFonts w:ascii="Arial" w:eastAsia="Arial" w:hAnsi="Arial" w:cs="Arial"/>
          <w:color w:val="000000"/>
          <w:sz w:val="18"/>
          <w:szCs w:val="18"/>
          <w:lang w:val="de-LU"/>
        </w:rPr>
        <w:t>Institut Studi Islam Muhammadiyah Pacitan; maltaana@isimupacitan.ac.id</w:t>
      </w:r>
    </w:p>
    <w:p w:rsidR="00761C3A" w:rsidRDefault="00E85B7D">
      <w:pPr>
        <w:spacing w:after="0" w:line="256" w:lineRule="auto"/>
        <w:rPr>
          <w:rFonts w:ascii="Arial" w:eastAsia="Arial" w:hAnsi="Arial" w:cs="Arial"/>
          <w:color w:val="000000"/>
          <w:sz w:val="18"/>
          <w:szCs w:val="18"/>
          <w:lang w:val="de-LU"/>
        </w:rPr>
      </w:pPr>
      <w:r>
        <w:rPr>
          <w:rFonts w:ascii="Arial" w:eastAsia="Arial" w:hAnsi="Arial" w:cs="Arial"/>
          <w:color w:val="000000"/>
          <w:sz w:val="18"/>
          <w:szCs w:val="18"/>
          <w:lang w:val="de-LU"/>
        </w:rPr>
        <w:t xml:space="preserve">*Correspondence: </w:t>
      </w:r>
      <w:r>
        <w:rPr>
          <w:rFonts w:ascii="Arial" w:eastAsia="Book Antiqua" w:hAnsi="Arial" w:cs="Arial"/>
          <w:iCs/>
          <w:color w:val="333333"/>
          <w:sz w:val="18"/>
          <w:szCs w:val="18"/>
          <w:lang w:val="de-LU"/>
        </w:rPr>
        <w:t>win698978@gmail.com</w:t>
      </w:r>
    </w:p>
    <w:p w:rsidR="00761C3A" w:rsidRDefault="00E85B7D">
      <w:pPr>
        <w:pBdr>
          <w:top w:val="nil"/>
          <w:left w:val="nil"/>
          <w:bottom w:val="nil"/>
          <w:right w:val="nil"/>
          <w:between w:val="nil"/>
        </w:pBdr>
        <w:spacing w:before="120" w:after="0"/>
        <w:rPr>
          <w:rFonts w:ascii="Arial" w:eastAsia="Arial" w:hAnsi="Arial" w:cs="Arial"/>
          <w:color w:val="000000"/>
          <w:sz w:val="18"/>
          <w:szCs w:val="18"/>
        </w:rPr>
      </w:pPr>
      <w:r>
        <w:rPr>
          <w:rFonts w:ascii="Arial" w:eastAsia="Arial" w:hAnsi="Arial" w:cs="Arial"/>
          <w:color w:val="000000"/>
          <w:sz w:val="18"/>
          <w:szCs w:val="18"/>
        </w:rPr>
        <w:t>Received: date; Accepted: date; Published: date</w:t>
      </w:r>
    </w:p>
    <w:p w:rsidR="00761C3A" w:rsidRDefault="00761C3A">
      <w:pPr>
        <w:rPr>
          <w:rFonts w:ascii="Arial" w:eastAsia="Arial" w:hAnsi="Arial" w:cs="Arial"/>
        </w:rPr>
      </w:pPr>
    </w:p>
    <w:p w:rsidR="008A4F7A" w:rsidRDefault="00E85B7D">
      <w:pPr>
        <w:pBdr>
          <w:top w:val="nil"/>
          <w:left w:val="nil"/>
          <w:bottom w:val="nil"/>
          <w:right w:val="nil"/>
          <w:between w:val="nil"/>
        </w:pBdr>
        <w:spacing w:before="240" w:after="0"/>
        <w:jc w:val="both"/>
        <w:rPr>
          <w:rFonts w:ascii="Arial" w:eastAsia="Arial" w:hAnsi="Arial" w:cs="Arial"/>
          <w:i/>
          <w:color w:val="000000"/>
          <w:sz w:val="20"/>
          <w:szCs w:val="20"/>
          <w:lang w:val="en-ID"/>
        </w:rPr>
      </w:pPr>
      <w:bookmarkStart w:id="0" w:name="_heading=h.gjdgxs" w:colFirst="0" w:colLast="0"/>
      <w:bookmarkEnd w:id="0"/>
      <w:r>
        <w:rPr>
          <w:rFonts w:ascii="Arial" w:eastAsia="Arial" w:hAnsi="Arial" w:cs="Arial"/>
          <w:b/>
          <w:bCs/>
          <w:i/>
          <w:color w:val="000000"/>
          <w:sz w:val="20"/>
          <w:szCs w:val="20"/>
          <w:lang w:val="en-ID"/>
        </w:rPr>
        <w:t>Abstract:</w:t>
      </w:r>
      <w:r>
        <w:rPr>
          <w:rFonts w:ascii="Arial" w:eastAsia="Arial" w:hAnsi="Arial" w:cs="Arial"/>
          <w:i/>
          <w:color w:val="000000"/>
          <w:sz w:val="20"/>
          <w:szCs w:val="20"/>
          <w:lang w:val="en-ID"/>
        </w:rPr>
        <w:t xml:space="preserve"> </w:t>
      </w:r>
      <w:r w:rsidR="008A4F7A" w:rsidRPr="008A4F7A">
        <w:rPr>
          <w:rFonts w:ascii="Arial" w:eastAsia="Arial" w:hAnsi="Arial" w:cs="Arial"/>
          <w:i/>
          <w:color w:val="000000"/>
          <w:sz w:val="20"/>
          <w:szCs w:val="20"/>
          <w:lang w:val="en-ID"/>
        </w:rPr>
        <w:t xml:space="preserve">Modernization, driven by advances in science, technology, and globalization, has brought complex and multidimensional impacts on the social, cultural, and religious structures of Muslim society in Indonesia. While it offers opportunities for </w:t>
      </w:r>
      <w:proofErr w:type="spellStart"/>
      <w:r w:rsidR="008A4F7A" w:rsidRPr="008A4F7A">
        <w:rPr>
          <w:rFonts w:ascii="Arial" w:eastAsia="Arial" w:hAnsi="Arial" w:cs="Arial"/>
          <w:i/>
          <w:color w:val="000000"/>
          <w:sz w:val="20"/>
          <w:szCs w:val="20"/>
          <w:lang w:val="en-ID"/>
        </w:rPr>
        <w:t>tajdīd</w:t>
      </w:r>
      <w:proofErr w:type="spellEnd"/>
      <w:r w:rsidR="008A4F7A" w:rsidRPr="008A4F7A">
        <w:rPr>
          <w:rFonts w:ascii="Arial" w:eastAsia="Arial" w:hAnsi="Arial" w:cs="Arial"/>
          <w:i/>
          <w:color w:val="000000"/>
          <w:sz w:val="20"/>
          <w:szCs w:val="20"/>
          <w:lang w:val="en-ID"/>
        </w:rPr>
        <w:t xml:space="preserve"> or the renewal of Islamic understanding to make it more contextual and responsive to contemporary challenges, it also presents serious risks. Among these are the weakening of ‘</w:t>
      </w:r>
      <w:proofErr w:type="spellStart"/>
      <w:r w:rsidR="008A4F7A" w:rsidRPr="008A4F7A">
        <w:rPr>
          <w:rFonts w:ascii="Arial" w:eastAsia="Arial" w:hAnsi="Arial" w:cs="Arial"/>
          <w:i/>
          <w:color w:val="000000"/>
          <w:sz w:val="20"/>
          <w:szCs w:val="20"/>
          <w:lang w:val="en-ID"/>
        </w:rPr>
        <w:t>aqīdah</w:t>
      </w:r>
      <w:proofErr w:type="spellEnd"/>
      <w:r w:rsidR="008A4F7A" w:rsidRPr="008A4F7A">
        <w:rPr>
          <w:rFonts w:ascii="Arial" w:eastAsia="Arial" w:hAnsi="Arial" w:cs="Arial"/>
          <w:i/>
          <w:color w:val="000000"/>
          <w:sz w:val="20"/>
          <w:szCs w:val="20"/>
          <w:lang w:val="en-ID"/>
        </w:rPr>
        <w:t xml:space="preserve"> understanding and practice among younger generations, the increasing influence of consumerist and hedonistic lifestyles, and the emergence of internal tensions between conservative and progressive groups in responding to socio-religious dynamics. This study aims to examine both the challenges and strategic responses of Muslim communities in navigating the process of modernization. Using a qualitative approach through a literature review, this research </w:t>
      </w:r>
      <w:proofErr w:type="spellStart"/>
      <w:r w:rsidR="008A4F7A" w:rsidRPr="008A4F7A">
        <w:rPr>
          <w:rFonts w:ascii="Arial" w:eastAsia="Arial" w:hAnsi="Arial" w:cs="Arial"/>
          <w:i/>
          <w:color w:val="000000"/>
          <w:sz w:val="20"/>
          <w:szCs w:val="20"/>
          <w:lang w:val="en-ID"/>
        </w:rPr>
        <w:t>analyzes</w:t>
      </w:r>
      <w:proofErr w:type="spellEnd"/>
      <w:r w:rsidR="008A4F7A" w:rsidRPr="008A4F7A">
        <w:rPr>
          <w:rFonts w:ascii="Arial" w:eastAsia="Arial" w:hAnsi="Arial" w:cs="Arial"/>
          <w:i/>
          <w:color w:val="000000"/>
          <w:sz w:val="20"/>
          <w:szCs w:val="20"/>
          <w:lang w:val="en-ID"/>
        </w:rPr>
        <w:t xml:space="preserve"> various scholarly works and relevant sources. The findings suggest that strengthening adaptive and critical Islamic education, enhancing religious literacy, promoting contextual interpretation through </w:t>
      </w:r>
      <w:proofErr w:type="spellStart"/>
      <w:r w:rsidR="008A4F7A" w:rsidRPr="008A4F7A">
        <w:rPr>
          <w:rFonts w:ascii="Arial" w:eastAsia="Arial" w:hAnsi="Arial" w:cs="Arial"/>
          <w:i/>
          <w:color w:val="000000"/>
          <w:sz w:val="20"/>
          <w:szCs w:val="20"/>
          <w:lang w:val="en-ID"/>
        </w:rPr>
        <w:t>maqāṣid</w:t>
      </w:r>
      <w:proofErr w:type="spellEnd"/>
      <w:r w:rsidR="008A4F7A" w:rsidRPr="008A4F7A">
        <w:rPr>
          <w:rFonts w:ascii="Arial" w:eastAsia="Arial" w:hAnsi="Arial" w:cs="Arial"/>
          <w:i/>
          <w:color w:val="000000"/>
          <w:sz w:val="20"/>
          <w:szCs w:val="20"/>
          <w:lang w:val="en-ID"/>
        </w:rPr>
        <w:t xml:space="preserve"> al-</w:t>
      </w:r>
      <w:proofErr w:type="spellStart"/>
      <w:r w:rsidR="008A4F7A" w:rsidRPr="008A4F7A">
        <w:rPr>
          <w:rFonts w:ascii="Arial" w:eastAsia="Arial" w:hAnsi="Arial" w:cs="Arial"/>
          <w:i/>
          <w:color w:val="000000"/>
          <w:sz w:val="20"/>
          <w:szCs w:val="20"/>
          <w:lang w:val="en-ID"/>
        </w:rPr>
        <w:t>syarī‘ah</w:t>
      </w:r>
      <w:proofErr w:type="spellEnd"/>
      <w:r w:rsidR="008A4F7A" w:rsidRPr="008A4F7A">
        <w:rPr>
          <w:rFonts w:ascii="Arial" w:eastAsia="Arial" w:hAnsi="Arial" w:cs="Arial"/>
          <w:i/>
          <w:color w:val="000000"/>
          <w:sz w:val="20"/>
          <w:szCs w:val="20"/>
          <w:lang w:val="en-ID"/>
        </w:rPr>
        <w:t xml:space="preserve"> and </w:t>
      </w:r>
      <w:proofErr w:type="spellStart"/>
      <w:r w:rsidR="008A4F7A" w:rsidRPr="008A4F7A">
        <w:rPr>
          <w:rFonts w:ascii="Arial" w:eastAsia="Arial" w:hAnsi="Arial" w:cs="Arial"/>
          <w:i/>
          <w:color w:val="000000"/>
          <w:sz w:val="20"/>
          <w:szCs w:val="20"/>
          <w:lang w:val="en-ID"/>
        </w:rPr>
        <w:t>ijtihād</w:t>
      </w:r>
      <w:proofErr w:type="spellEnd"/>
      <w:r w:rsidR="008A4F7A" w:rsidRPr="008A4F7A">
        <w:rPr>
          <w:rFonts w:ascii="Arial" w:eastAsia="Arial" w:hAnsi="Arial" w:cs="Arial"/>
          <w:i/>
          <w:color w:val="000000"/>
          <w:sz w:val="20"/>
          <w:szCs w:val="20"/>
          <w:lang w:val="en-ID"/>
        </w:rPr>
        <w:t xml:space="preserve">, and utilizing digital platforms for da‘wah are essential strategies to maintain the relevance of Islamic values. The study concludes that Muslim communities must develop a synergistic approach that preserves traditional principles while remaining open to innovation, in order to build a modern society rooted in the ethical foundations of </w:t>
      </w:r>
      <w:proofErr w:type="spellStart"/>
      <w:r w:rsidR="008A4F7A" w:rsidRPr="008A4F7A">
        <w:rPr>
          <w:rFonts w:ascii="Arial" w:eastAsia="Arial" w:hAnsi="Arial" w:cs="Arial"/>
          <w:i/>
          <w:color w:val="000000"/>
          <w:sz w:val="20"/>
          <w:szCs w:val="20"/>
          <w:lang w:val="en-ID"/>
        </w:rPr>
        <w:t>sharī‘ah</w:t>
      </w:r>
      <w:proofErr w:type="spellEnd"/>
      <w:r w:rsidR="008A4F7A" w:rsidRPr="008A4F7A">
        <w:rPr>
          <w:rFonts w:ascii="Arial" w:eastAsia="Arial" w:hAnsi="Arial" w:cs="Arial"/>
          <w:i/>
          <w:color w:val="000000"/>
          <w:sz w:val="20"/>
          <w:szCs w:val="20"/>
          <w:lang w:val="en-ID"/>
        </w:rPr>
        <w:t>.</w:t>
      </w:r>
      <w:r w:rsidR="008A4F7A">
        <w:rPr>
          <w:rFonts w:ascii="Arial" w:eastAsia="Arial" w:hAnsi="Arial" w:cs="Arial"/>
          <w:i/>
          <w:color w:val="000000"/>
          <w:sz w:val="20"/>
          <w:szCs w:val="20"/>
          <w:lang w:val="en-ID"/>
        </w:rPr>
        <w:t xml:space="preserve"> </w:t>
      </w:r>
    </w:p>
    <w:p w:rsidR="0044342A" w:rsidRDefault="00E85B7D" w:rsidP="0044342A">
      <w:pPr>
        <w:pBdr>
          <w:top w:val="nil"/>
          <w:left w:val="nil"/>
          <w:bottom w:val="nil"/>
          <w:right w:val="nil"/>
          <w:between w:val="nil"/>
        </w:pBdr>
        <w:spacing w:before="240" w:after="0"/>
        <w:jc w:val="both"/>
        <w:rPr>
          <w:rFonts w:ascii="Arial" w:eastAsia="Arial" w:hAnsi="Arial" w:cs="Arial"/>
          <w:bCs/>
          <w:iCs/>
          <w:color w:val="000000"/>
          <w:sz w:val="20"/>
          <w:szCs w:val="20"/>
          <w:lang w:val="en-ID"/>
        </w:rPr>
      </w:pPr>
      <w:r>
        <w:rPr>
          <w:rFonts w:ascii="Arial" w:eastAsia="Arial" w:hAnsi="Arial" w:cs="Arial"/>
          <w:b/>
          <w:bCs/>
          <w:i/>
          <w:color w:val="000000"/>
          <w:sz w:val="20"/>
          <w:szCs w:val="20"/>
          <w:lang w:val="en-ID"/>
        </w:rPr>
        <w:t>Keywords:</w:t>
      </w:r>
      <w:r>
        <w:rPr>
          <w:rFonts w:ascii="Arial" w:eastAsia="Arial" w:hAnsi="Arial" w:cs="Arial"/>
          <w:i/>
          <w:color w:val="000000"/>
          <w:sz w:val="20"/>
          <w:szCs w:val="20"/>
          <w:lang w:val="en-ID"/>
        </w:rPr>
        <w:t xml:space="preserve"> </w:t>
      </w:r>
      <w:proofErr w:type="spellStart"/>
      <w:r>
        <w:rPr>
          <w:rFonts w:ascii="Arial" w:eastAsia="Arial" w:hAnsi="Arial" w:cs="Arial"/>
          <w:i/>
          <w:color w:val="000000"/>
          <w:sz w:val="20"/>
          <w:szCs w:val="20"/>
          <w:lang w:val="en-GB"/>
        </w:rPr>
        <w:t>islamic</w:t>
      </w:r>
      <w:proofErr w:type="spellEnd"/>
      <w:r>
        <w:rPr>
          <w:rFonts w:ascii="Arial" w:eastAsia="Arial" w:hAnsi="Arial" w:cs="Arial"/>
          <w:i/>
          <w:color w:val="000000"/>
          <w:sz w:val="20"/>
          <w:szCs w:val="20"/>
          <w:lang w:val="en-GB"/>
        </w:rPr>
        <w:t xml:space="preserve"> society, </w:t>
      </w:r>
      <w:proofErr w:type="spellStart"/>
      <w:r>
        <w:rPr>
          <w:rFonts w:ascii="Arial" w:eastAsia="Arial" w:hAnsi="Arial" w:cs="Arial"/>
          <w:i/>
          <w:color w:val="000000"/>
          <w:sz w:val="20"/>
          <w:szCs w:val="20"/>
          <w:lang w:val="en-GB"/>
        </w:rPr>
        <w:t>islamic</w:t>
      </w:r>
      <w:proofErr w:type="spellEnd"/>
      <w:r>
        <w:rPr>
          <w:rFonts w:ascii="Arial" w:eastAsia="Arial" w:hAnsi="Arial" w:cs="Arial"/>
          <w:i/>
          <w:color w:val="000000"/>
          <w:sz w:val="20"/>
          <w:szCs w:val="20"/>
          <w:lang w:val="en-GB"/>
        </w:rPr>
        <w:t xml:space="preserve"> education, modernization, religious identity.</w:t>
      </w:r>
    </w:p>
    <w:p w:rsidR="0044342A" w:rsidRDefault="0044342A" w:rsidP="0044342A">
      <w:pPr>
        <w:pBdr>
          <w:top w:val="nil"/>
          <w:left w:val="nil"/>
          <w:bottom w:val="nil"/>
          <w:right w:val="nil"/>
          <w:between w:val="nil"/>
        </w:pBdr>
        <w:spacing w:before="240" w:after="0" w:line="480" w:lineRule="auto"/>
        <w:jc w:val="both"/>
        <w:rPr>
          <w:rFonts w:ascii="Arial" w:eastAsia="Arial" w:hAnsi="Arial" w:cs="Arial"/>
          <w:bCs/>
          <w:iCs/>
          <w:color w:val="000000"/>
          <w:sz w:val="20"/>
          <w:szCs w:val="20"/>
          <w:lang w:val="en-ID"/>
        </w:rPr>
      </w:pPr>
    </w:p>
    <w:p w:rsidR="00761C3A" w:rsidRPr="0044342A" w:rsidRDefault="0044342A" w:rsidP="0044342A">
      <w:pPr>
        <w:numPr>
          <w:ilvl w:val="0"/>
          <w:numId w:val="11"/>
        </w:numPr>
        <w:pBdr>
          <w:top w:val="nil"/>
          <w:left w:val="nil"/>
          <w:bottom w:val="nil"/>
          <w:right w:val="nil"/>
          <w:between w:val="nil"/>
        </w:pBdr>
        <w:spacing w:after="0" w:line="480" w:lineRule="auto"/>
        <w:ind w:left="426"/>
        <w:rPr>
          <w:rFonts w:ascii="Arial" w:eastAsia="Arial" w:hAnsi="Arial" w:cs="Arial"/>
          <w:b/>
          <w:color w:val="000000"/>
          <w:sz w:val="20"/>
          <w:szCs w:val="20"/>
        </w:rPr>
      </w:pPr>
      <w:r>
        <w:rPr>
          <w:rFonts w:ascii="Arial" w:eastAsia="Arial" w:hAnsi="Arial" w:cs="Arial"/>
          <w:b/>
          <w:color w:val="000000"/>
          <w:sz w:val="20"/>
          <w:szCs w:val="20"/>
        </w:rPr>
        <w:t>Introductio</w:t>
      </w:r>
      <w:r>
        <w:rPr>
          <w:rFonts w:ascii="Arial" w:eastAsia="Arial" w:hAnsi="Arial" w:cs="Arial"/>
          <w:b/>
          <w:color w:val="000000"/>
          <w:sz w:val="20"/>
          <w:szCs w:val="20"/>
        </w:rPr>
        <w:t xml:space="preserve">n </w:t>
      </w:r>
    </w:p>
    <w:p w:rsidR="00761C3A" w:rsidRDefault="004A1DC6" w:rsidP="0044342A">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4A1DC6">
        <w:rPr>
          <w:rFonts w:ascii="Arial" w:eastAsia="Arial" w:hAnsi="Arial" w:cs="Arial"/>
          <w:color w:val="000000"/>
          <w:sz w:val="20"/>
          <w:szCs w:val="20"/>
          <w:lang w:val="de-LU"/>
        </w:rPr>
        <w:t>Change is an inseparable part of the dynamics of social life. Over time, societies continuously undergo transformations across various aspects of life, including culture, economy, education, and social systems. This process of change is not static; rather, it evolves in line with the demands of the era, internal and external challenges, as well as the complexities of social interactions. Social change may encompass numerous domains of life, such as value systems, social norms, individual behavior, social institutions, economic structures, and educational patterns. The driving factors behind these changes may originate from within society itself (internal factors), such as population growth, intergroup conflict, and scientific advancement, or from external sources, including globalization, colonialism, and the influence of foreign cultures</w:t>
      </w:r>
      <w:r w:rsidR="000C2F88">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{"citationItems":[{"id":"ITEM-1","itemData":{"DOI":"10.35308/jcpds.v3i1.142","ISSN":"2477-5746","abstract":"This study aims to explain the factors that lead to social change in the village society farmer Gunong Meulinteung Panga District of Aceh Jaya district. The method used in this research is qualitative method. The data in this research was obtained through literature (library research) and field research. The research literature is done by reading text books, while research conducted field research by interviewing informants. The results showed that in the process of social change Gampong Gunong Meulinteung Panga District of Aceh Jaya district, there has been a shift in community work Gampong Gunong Meulinteung to earn income and income from the local economy who previously worked as a rice farmer turned into oil palm planters community. Social change in this community work caused by several factors: internal factors that consist of Population changes, new invention, lack of facilities.External factors consist of no irrigation factors, factors of rice pests, natural factors, the influence of other people. Keywords: Social Change, Farmers Rice and Oil Palm Plantations","author":[{"dropping-particle":"","family":"Aminah","given":"Aminah","non-dropping-particle":"","parse-names":false,"suffix":""},{"dropping-particle":"","family":"Hasan","given":"Effendi","non-dropping-particle":"","parse-names":false,"suffix":""}],"container-title":"Jurnal Community","id":"ITEM-1","issue":"1","issued":{"date-parts":[["2018"]]},"page":"1-13","title":"Perubahan Sosial Masyarakat Gampong Gunong Meulinteung Dari Petani Menjadi Pekebun Sawit","type":"article-journal","volume":"3"},"uris":["http://www.mendeley.com/documents/?uuid=e4372cb7-c75d-4f3a-9476-7bbb64e664a3"]}],"mendeley":{"formattedCitation":"(Aminah &amp; Hasan, 2018)","plainTextFormattedCitation":"(Aminah &amp; Hasan, 2018)","previouslyFormattedCitation":"(Aminah &amp; Hasan, 2018)"},"properties":{"noteIndex":0},"schema":"https://github.com/citation-style-language/schema/raw/master/csl-citation.json"}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(Aminah &amp; Hasan, 2018)</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 xml:space="preserve">Change is not merely a natural phenomenon but also serves as an adaptive response undertaken </w:t>
      </w:r>
      <w:r w:rsidRPr="004A1DC6">
        <w:rPr>
          <w:rFonts w:ascii="Arial" w:eastAsia="Arial" w:hAnsi="Arial" w:cs="Arial"/>
          <w:color w:val="000000"/>
          <w:sz w:val="20"/>
          <w:szCs w:val="20"/>
          <w:lang w:val="de-LU"/>
        </w:rPr>
        <w:lastRenderedPageBreak/>
        <w:t>by society to confront constantly shifting conditions and challenges. Within this context, change is regarded as a crucial element in sociological studies, as it reflects the dynamics of social interaction and the capacity of societies to adapt and innovate in order to maintain their existence amid the rapid flow of global development</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{"citationItems":[{"id":"ITEM-1","itemData":{"DOI":"10.53544/sapa.v2i2.40","ISSN":"2503-5150","abstract":"Penulis mencoba menguraikan soal perubahan sosial yang terjadi dalam masyarakat berdasarkan teori-teori perubahan sosial. Perubahan sosial merupakan suatu proses pergeseran struktur atau tatanan didalam masyarakat, yang meliputi pola pikir yang lebih inovatif, sikap, serta kehidupan sosialnya untuk mendapatkan penghidupan yang lebih bermartabat. Tokoh-tokoh yang berbicara soal perubahan sosial adalah: Kingsley Davis, Mac Iver, Selo Soemarjan, William Ogburn. Kecenderungan terjadinya perubahan-perubahan sosial merupakan gejala yang wajar yang timbul dari pergaulan hidup manusia di dalam masyarakat. Perubahan-perubahan sosial akan terus berlangsung sepanjang masih terjadi interaksi antarmanusia dan antarmasyarakat. Perubahan sosial terjadi karena adanya perubahan dalam unsur-unsur yang mempertahankan keseimbangan masyarakat, seperti perubahan dalam unsur-unsur geografis, biologis, ekonomis, dan kebudayaan. Perubahan sosial dalam masyarakat tidak boleh dilihat dari satu sisi saja, sebab perubahan ini dapat mengakibatkan pergeseran pada banyak sektor dalam masyarakat sosial. Hal ini berarti, perubahan sosial akan selalu terjadi pada setiap bagian dari masyarakat itu sendiri. Gejala perubahan sosial dalam masyarakat dapat dilihat dari terjadinya perubahan sistem nilai maupun norma yang berlaku saat itu dan yang tidak berlaku lagi dalam masyarakat. Tentu saja, perubahan sosial ini terjadi bukan semata mata karena individu dalam masyarakat tersebut yang mau berubah, akan tetapi karena adanya perkembangan dari berbagai sektor khususnya teknologi.","author":[{"dropping-particle":"","family":"Goa","given":"Lorentius","non-dropping-particle":"","parse-names":false,"suffix":""}],"container-title":"SAPA - Jurnal Kateketik dan Pastoral","id":"ITEM-1","issue":"2","issued":{"date-parts":[["2017"]]},"page":"53-67","title":"Perubahan Sosial Dalam Kehidupan Bermasyarakat","type":"article-journal","volume":"2"},"uris":["http://www.mendeley.com/documents/?uuid=794d8462-c8f0-44e9-b287-3e12dd24e966"]}],"mendeley":{"formattedCitation":"(Goa, 2017)","plainTextFormattedCitation":"(Goa, 2017)","previouslyFormattedCitation":"(Goa, 2017)"},"properties":{"noteIndex":0},"schema":"https://github.com/citation-style-language/schema/raw/master/csl-citation.json"}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(Goa, 2017)</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w:t>
      </w:r>
    </w:p>
    <w:p w:rsidR="00761C3A" w:rsidRDefault="004A1DC6" w:rsidP="0044342A">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4A1DC6">
        <w:rPr>
          <w:rFonts w:ascii="Arial" w:eastAsia="Arial" w:hAnsi="Arial" w:cs="Arial"/>
          <w:color w:val="000000"/>
          <w:sz w:val="20"/>
          <w:szCs w:val="20"/>
          <w:lang w:val="de-LU"/>
        </w:rPr>
        <w:t>One of the most significant and far-reaching forms of social change is modernization</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{"citationItems":[{"id":"ITEM-1","itemData":{"ISSN":"2550-0813","author":[{"dropping-particle":"","family":"Hatuwe","given":"Rahma Satya Masna","non-dropping-particle":"","parse-names":false,"suffix":""},{"dropping-particle":"","family":"Tuasalamony","given":"Kurniati","non-dropping-particle":"","parse-names":false,"suffix":""},{"dropping-particle":"","family":"Masniati","given":"Andi","non-dropping-particle":"","parse-names":false,"suffix":""},{"dropping-particle":"","family":"Yusuf","given":"Salma","non-dropping-particle":"","parse-names":false,"suffix":""}],"container-title":"NUSANTARA: Jurnal Ilmu Pengetahuan Sosial","id":"ITEM-1","issue":"1","issued":{"date-parts":[["2021"]]},"page":"84-96","title":"Modernisasi terhadap Perubahan Sosial Masyarakat Desa Namlea Kabupaten Buru","type":"article-journal","volume":"8"},"uris":["http://www.mendeley.com/documents/?uuid=991143f8-c433-4868-8895-f060b92a1864"]}],"mendeley":{"formattedCitation":"(Hatuwe, Tuasalamony, Masniati, &amp; Yusuf, 2021)","plainTextFormattedCitation":"(Hatuwe, Tuasalamony, Masniati, &amp; Yusuf, 2021)","previouslyFormattedCitation":"(Hatuwe, Tuasalamony, Masniati, &amp; Yusuf, 2021)"},"properties":{"noteIndex":0},"schema":"https://github.com/citation-style-language/schema/raw/master/csl-citation.json"}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(Hatuwe, Tuasalamony, Masniati, &amp; Yusuf, 2021)</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From the perspective of social change theory, modernization refers to a rational and systematic effort aimed at transforming traditional societies into modern societies that are more rational, open, efficient, and well-organized. This transformation involves changes in value structures, social norms, institutions, individual behavior, and existing social systems. Modernization is not an instantaneous process; it requires policy interventions, social planning, and the mental and cultural readiness of society</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en-GB"/>
        </w:rPr>
        <w:fldChar w:fldCharType="begin"/>
      </w:r>
      <w:r w:rsidR="00E85B7D">
        <w:rPr>
          <w:rFonts w:ascii="Arial" w:eastAsia="Arial" w:hAnsi="Arial" w:cs="Arial"/>
          <w:color w:val="000000"/>
          <w:sz w:val="20"/>
          <w:szCs w:val="20"/>
          <w:lang w:val="de-LU"/>
        </w:rPr>
        <w:instrText>ADDIN CSL_CITATION {"citationItems":[{"id":"ITEM-1","itemData":{"author":[{"dropping-particle":"","family":"Soekanto","given":"Soerjono","non-dropping-particle":"","parse-names":false,"suffix":""}],"id":"ITEM-1","issued":{"date-parts":[["2015"]]},"publisher":"PT. Rajawali Pers","publisher-place":"Jakarta","title":"Sosiologi: Suatu Pengantar","type":"book"},"uris":["http://www.mendeley.com/documents/?uuid=c075f195-54b6-483c-87d9-b2e47215142e"]}],"mendeley":{"formattedCitation":"(Soekanto, 2015)","manualFormatting":"(Soekanto, 2015)","plainTextFormattedCitation":"(Soekanto, 2015)","previouslyFormattedCitation":"(Soekanto, 2015b)"},"properties":{"noteIndex":0},"schema":"https://github.com/citation-style-language/schema/raw/master/csl-citation.json"}</w:instrText>
      </w:r>
      <w:r w:rsidR="00E85B7D">
        <w:rPr>
          <w:rFonts w:ascii="Arial" w:eastAsia="Arial" w:hAnsi="Arial" w:cs="Arial"/>
          <w:color w:val="000000"/>
          <w:sz w:val="20"/>
          <w:szCs w:val="20"/>
          <w:vertAlign w:val="superscript"/>
          <w:lang w:val="en-GB"/>
        </w:rPr>
        <w:fldChar w:fldCharType="separate"/>
      </w:r>
      <w:r w:rsidR="00E85B7D">
        <w:rPr>
          <w:rFonts w:ascii="Arial" w:eastAsia="Arial" w:hAnsi="Arial" w:cs="Arial"/>
          <w:noProof/>
          <w:color w:val="000000"/>
          <w:sz w:val="20"/>
          <w:szCs w:val="20"/>
          <w:lang w:val="de-LU"/>
        </w:rPr>
        <w:t>(Soekanto, 2015)</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The primary objective of modernization is to improve social welfare, foster progress across various sectors of life, and enhance societal competitiveness in facing global challenges. Thus, modernization is viewed as an integral part of social development strategies, emphasizing efficiency, rationality, and productivity in pursuit of a more equitable and improved quality of life.</w:t>
      </w:r>
      <w:r>
        <w:rPr>
          <w:rFonts w:ascii="Arial" w:eastAsia="Arial" w:hAnsi="Arial" w:cs="Arial"/>
          <w:color w:val="000000"/>
          <w:sz w:val="20"/>
          <w:szCs w:val="20"/>
          <w:lang w:val="de-LU"/>
        </w:rPr>
        <w:t xml:space="preserve"> </w:t>
      </w:r>
    </w:p>
    <w:p w:rsidR="00761C3A" w:rsidRDefault="004A1DC6" w:rsidP="0044342A">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sidRPr="004A1DC6">
        <w:rPr>
          <w:rFonts w:ascii="Arial" w:eastAsia="Arial" w:hAnsi="Arial" w:cs="Arial"/>
          <w:color w:val="000000"/>
          <w:sz w:val="20"/>
          <w:szCs w:val="20"/>
          <w:lang w:val="de-LU"/>
        </w:rPr>
        <w:t>Modernization possesses both preventive and constructive characteristics, meaning that this process not only aims to address existing social problems but also seeks to build a better social order through long-term planning approaches based on empirical data and scientific analysis. In practice, modernization is not utopian; rather, it is grounded in social realities and observable trends. For modernization to be effective and sustainable, certain prerequisites must be fulfilled within society</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de-LU"/>
        </w:rPr>
        <w:fldChar w:fldCharType="begin"/>
      </w:r>
      <w:r w:rsidR="00E85B7D">
        <w:rPr>
          <w:rFonts w:ascii="Arial" w:eastAsia="Arial" w:hAnsi="Arial" w:cs="Arial"/>
          <w:color w:val="000000"/>
          <w:sz w:val="20"/>
          <w:szCs w:val="20"/>
          <w:lang w:val="de-LU"/>
        </w:rPr>
        <w:instrText>ADDIN CSL_CITATION {"citationItems":[{"id":"ITEM-1","itemData":{"author":[{"dropping-particle":"","family":"Soekanto","given":"Soerjono","non-dropping-particle":"","parse-names":false,"suffix":""}],"id":"ITEM-1","issued":{"date-parts":[["2015"]]},"publisher":"PT. Rajawali Pers","publisher-place":"Jakarta","title":"Sosiologi: Suatu Pengantar","type":"book"},"uris":["http://www.mendeley.com/documents/?uuid=c075f195-54b6-483c-87d9-b2e47215142e"]}],"mendeley":{"formattedCitation":"(Soekanto, 2015)","manualFormatting":"(Soekanto, 2015)","plainTextFormattedCitation":"(Soekanto, 2015)","previouslyFormattedCitation":"(Soekanto, 2015b)"},"properties":{"noteIndex":0},"schema":"https://github.com/citation-style-language/schema/raw/master/csl-citation.json"}</w:instrText>
      </w:r>
      <w:r w:rsidR="00E85B7D">
        <w:rPr>
          <w:rFonts w:ascii="Arial" w:eastAsia="Arial" w:hAnsi="Arial" w:cs="Arial"/>
          <w:color w:val="000000"/>
          <w:sz w:val="20"/>
          <w:szCs w:val="20"/>
          <w:vertAlign w:val="superscript"/>
          <w:lang w:val="de-LU"/>
        </w:rPr>
        <w:fldChar w:fldCharType="separate"/>
      </w:r>
      <w:r w:rsidR="00E85B7D">
        <w:rPr>
          <w:rFonts w:ascii="Arial" w:eastAsia="Arial" w:hAnsi="Arial" w:cs="Arial"/>
          <w:noProof/>
          <w:color w:val="000000"/>
          <w:sz w:val="20"/>
          <w:szCs w:val="20"/>
          <w:lang w:val="de-LU"/>
        </w:rPr>
        <w:t>(Soekanto, 2015)</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These prerequisites include the development of scientific thinking as the foundation for rational decision-making, the establishment of an efficient administrative system that reflects modern bureaucratic principles, the availability of comprehensive, organized, and centralized data collection systems to support planning processes, the creation of a social environment conducive to modernization through the strategic use of mass communication, a high degree of social organization to ensure coordination and synergy, and the centralization of authority in the implementation of social planning to guarantee controlled and goal-oriented change</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de-LU"/>
        </w:rPr>
        <w:fldChar w:fldCharType="begin"/>
      </w:r>
      <w:r w:rsidR="00E85B7D">
        <w:rPr>
          <w:rFonts w:ascii="Arial" w:eastAsia="Arial" w:hAnsi="Arial" w:cs="Arial"/>
          <w:color w:val="000000"/>
          <w:sz w:val="20"/>
          <w:szCs w:val="20"/>
          <w:lang w:val="de-LU"/>
        </w:rPr>
        <w:instrText>ADDIN CSL_CITATION {"citationItems":[{"id":"ITEM-1","itemData":{"author":[{"dropping-particle":"","family":"Subhan","given":"Arief","non-dropping-particle":"","parse-names":false,"suffix":""}],"id":"ITEM-1","issued":{"date-parts":[["2012"]]},"publisher":"Kencana","publisher-place":"Jakarta","title":"Lembaga Pendidikan Islam Indonesia Abad Ke-20: Pergumulan Antara Modernisasi dan Identitas","type":"book"},"uris":["http://www.mendeley.com/documents/?uuid=0f849fe4-fd3d-4239-b145-27f23893216e"]}],"mendeley":{"formattedCitation":"(Subhan, 2012)","plainTextFormattedCitation":"(Subhan, 2012)","previouslyFormattedCitation":"(Subhan, 2012)"},"properties":{"noteIndex":0},"schema":"https://github.com/citation-style-language/schema/raw/master/csl-citation.json"}</w:instrText>
      </w:r>
      <w:r w:rsidR="00E85B7D">
        <w:rPr>
          <w:rFonts w:ascii="Arial" w:eastAsia="Arial" w:hAnsi="Arial" w:cs="Arial"/>
          <w:color w:val="000000"/>
          <w:sz w:val="20"/>
          <w:szCs w:val="20"/>
          <w:vertAlign w:val="superscript"/>
          <w:lang w:val="de-LU"/>
        </w:rPr>
        <w:fldChar w:fldCharType="separate"/>
      </w:r>
      <w:r w:rsidR="00E85B7D">
        <w:rPr>
          <w:rFonts w:ascii="Arial" w:eastAsia="Arial" w:hAnsi="Arial" w:cs="Arial"/>
          <w:noProof/>
          <w:color w:val="000000"/>
          <w:sz w:val="20"/>
          <w:szCs w:val="20"/>
          <w:lang w:val="de-LU"/>
        </w:rPr>
        <w:t>(Subhan, 2012)</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de-LU"/>
        </w:rPr>
        <w:t>.</w:t>
      </w:r>
    </w:p>
    <w:p w:rsidR="001659DF" w:rsidRDefault="004A1DC6" w:rsidP="0044342A">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4A1DC6">
        <w:rPr>
          <w:rFonts w:ascii="Arial" w:eastAsia="Arial" w:hAnsi="Arial" w:cs="Arial"/>
          <w:color w:val="000000"/>
          <w:sz w:val="20"/>
          <w:szCs w:val="20"/>
          <w:lang w:val="de-LU"/>
        </w:rPr>
        <w:lastRenderedPageBreak/>
        <w:t>Civilization is shaped by two fundamental forces: religion and philosophy</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de-LU"/>
        </w:rPr>
        <w:fldChar w:fldCharType="begin"/>
      </w:r>
      <w:r w:rsidR="00E85B7D">
        <w:rPr>
          <w:rFonts w:ascii="Arial" w:eastAsia="Arial" w:hAnsi="Arial" w:cs="Arial"/>
          <w:color w:val="000000"/>
          <w:sz w:val="20"/>
          <w:szCs w:val="20"/>
          <w:lang w:val="de-LU"/>
        </w:rPr>
        <w:instrText>ADDIN CSL_CITATION {"citationItems":[{"id":"ITEM-1","itemData":{"DOI":"10.23887/jfi.v1i2.13990","ISSN":"2620-7990","abstract":"Gerak merupakan fenomena esensial pada segala sesuatu yang mewaktu, dalam hal ini apa pun yang termasuk dalam maujud material adalah identik dengan gerak itu sendiri. Namun, di dalam istilah filsafat, gerak mempunyai pengertian yang lebih luas, akan tetapi, harus diperhatikan bahwa di dalam istilah filsafat, tidak semua perubahan dapat disebut gerak. Tujuan dari penulisan artikel ini adalah untuk membahas pemikiran tokoh falsafat barat dan islam terhadap fenomena dinamika gerak dan implikasinya dalam pembelajaran fisika. Selanjutnya, akan dibahas bagaimana menyinergikan antara pemikiran sains dan islam. Metodologi penulisan artikel ini berdasarkan hasil kajian literatur sebelumnya yang relevan. Pemikiran filsuf barat dan islam pada pola berfikir mereka yang menjelaskan tentang fenomena gerak yang terjadi di tatanan alam semesta ini. Dapat dikatakan bahwa semua realitas pada dasarnya adalah dinamis. Karena selalu ada perubahan baik itu dipengaruhi faktor eksternal maupun bergerak dengan sendirinya. Terkait hubungan sains dan Islam berkaitan dengan alam dapat dipandang dalam dua hal, Pertama, Sains dalam kacamata alam sebagai kesatuan tunggal dengan segala bagiannya saling terkait satu sama lain. Kedua. Sains dimaksudkan untuk mendorong baik saintis maupun filsuf untuk merenungkan alam sebagai ciptaan Tuhan","author":[{"dropping-particle":"","family":"Saputra","given":"Hendri","non-dropping-particle":"","parse-names":false,"suffix":""}],"container-title":"Jurnal Filsafat Indonesia","id":"ITEM-1","issue":"2","issued":{"date-parts":[["2018"]]},"page":"57","title":"Pemikiran Filsuf Barat Dan Islam Terhadap Konsep Dinamika Gerak","type":"article-journal","volume":"1"},"uris":["http://www.mendeley.com/documents/?uuid=6b1b2be7-cf28-4fba-bd1b-995052b1fb83"]}],"mendeley":{"formattedCitation":"(Saputra, 2018)","plainTextFormattedCitation":"(Saputra, 2018)","previouslyFormattedCitation":"(Saputra, 2018)"},"properties":{"noteIndex":0},"schema":"https://github.com/citation-style-language/schema/raw/master/csl-citation.json"}</w:instrText>
      </w:r>
      <w:r w:rsidR="00E85B7D">
        <w:rPr>
          <w:rFonts w:ascii="Arial" w:eastAsia="Arial" w:hAnsi="Arial" w:cs="Arial"/>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(Saputra, 2018)</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Both play a critical role in shaping social structures and the value systems that underpin community life. The process of modernization often faces significant challenges, particularly in maintaining religious teachings that have served as generational life guides amidst rapid societal change. Modernization, driven by scientific advancement, technological development, and secular values, has the potential to undermine the integrity of religious teachings if not approached with wisdom. In facing the challenges posed by modernization, religion functions not only as a means to preserve tradition but also as a source of strength in guiding change towards a more positive direction</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en-ID"/>
        </w:rPr>
        <w:fldChar w:fldCharType="begin"/>
      </w:r>
      <w:r w:rsidR="00E85B7D">
        <w:rPr>
          <w:rFonts w:ascii="Arial" w:eastAsia="Arial" w:hAnsi="Arial" w:cs="Arial"/>
          <w:color w:val="000000"/>
          <w:sz w:val="20"/>
          <w:szCs w:val="20"/>
          <w:lang w:val="de-LU"/>
        </w:rPr>
        <w:instrText>ADDIN CSL_CITATION {"citationItems":[{"id":"ITEM-1","itemData":{"DOI":"10.32678/tsaqofah.v18i02.3655","ISSN":"1412-6478","abstract":"Research on religion and socio-economic changes in the community around the Gunung Padang site, Karyamukti Village, Campaka District, Cianjur Regency originated from the emergence of a local community in carrying out its religion and culture in the form of socio-economic changes. The focus of the research reveals how religious the people around the Gunung Padang site are. How is the socio-economic culture of the community around Mount Padang with the Gunung Padang site, as well as how the religious and socio-economic changes of the community after the restoration (excapation) of the Gunung Padang site. This study uses a qualitative research method, to analyze the religious relationship between the community and the socio-economic culture of the community around ancient sites using a phenomenological approach. The results of this study indicate that the religion of the people around the site is greatly influenced by the process of combining religious understanding and local culture that has been hereditary. The form is through religious expressions, namely belief (theology), ritual (rites) and community (community).","author":[{"dropping-particle"</w:instrText>
      </w:r>
      <w:r w:rsidR="00E85B7D">
        <w:rPr>
          <w:rFonts w:ascii="Arial" w:eastAsia="Arial" w:hAnsi="Arial" w:cs="Arial"/>
          <w:color w:val="000000"/>
          <w:sz w:val="20"/>
          <w:szCs w:val="20"/>
          <w:lang w:val="en-ID"/>
        </w:rPr>
        <w:instrText>:"","family":"Rustandi","given":"Nanang","non-dropping-particle":"","parse-names":false,"suffix":""}],"container-title":"Tsaqofah","id":"ITEM-1","issue":"02","issued":{"date-parts":[["2020"]]},"page":"185","title":"Agama Dan Perubahan Sosial Ekonomi","type":"article-journal","volume":"18"},"uris":["http://www.mendeley.com/documents/?uuid=706413d1-68a9-4995-94cc-ab6c652a184a"]}],"mendeley":{"formattedCitation":"(Rustandi, 2020)","plainTextFormattedCitation":"(Rustandi, 2020)","previouslyFormattedCitation":"(Rustandi, 2020)"},"properties":{"noteIndex":0},"schema":"https://github.com/citation-style-language/schema/raw/master/csl-citation.json"}</w:instrText>
      </w:r>
      <w:r w:rsidR="00E85B7D">
        <w:rPr>
          <w:rFonts w:ascii="Arial" w:eastAsia="Arial" w:hAnsi="Arial" w:cs="Arial"/>
          <w:color w:val="000000"/>
          <w:sz w:val="20"/>
          <w:szCs w:val="20"/>
          <w:vertAlign w:val="superscript"/>
          <w:lang w:val="en-ID"/>
        </w:rPr>
        <w:fldChar w:fldCharType="separate"/>
      </w:r>
      <w:r w:rsidR="00E85B7D">
        <w:rPr>
          <w:rFonts w:ascii="Arial" w:eastAsia="Arial" w:hAnsi="Arial" w:cs="Arial"/>
          <w:bCs/>
          <w:noProof/>
          <w:color w:val="000000"/>
          <w:sz w:val="20"/>
          <w:szCs w:val="20"/>
        </w:rPr>
        <w:t>(Rustandi, 2020)</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en-ID"/>
        </w:rPr>
        <w:t xml:space="preserve">. </w:t>
      </w:r>
      <w:r w:rsidRPr="004A1DC6">
        <w:rPr>
          <w:rFonts w:ascii="Arial" w:eastAsia="Arial" w:hAnsi="Arial" w:cs="Arial"/>
          <w:color w:val="000000"/>
          <w:sz w:val="20"/>
          <w:szCs w:val="20"/>
          <w:lang w:val="en-ID"/>
        </w:rPr>
        <w:t>Religion can serve as a balancing force between scientific and technological progress and the preservation of noble human values, enabling societies to implement modernization in a manner that is both balanced and aligned with the preservation of their religious identity.</w:t>
      </w:r>
    </w:p>
    <w:p w:rsidR="004A1DC6" w:rsidRDefault="004A1DC6" w:rsidP="0044342A">
      <w:pPr>
        <w:pBdr>
          <w:top w:val="nil"/>
          <w:left w:val="nil"/>
          <w:bottom w:val="nil"/>
          <w:right w:val="nil"/>
          <w:between w:val="nil"/>
        </w:pBdr>
        <w:spacing w:after="0" w:line="480" w:lineRule="auto"/>
        <w:ind w:firstLine="425"/>
        <w:jc w:val="both"/>
        <w:rPr>
          <w:rFonts w:ascii="Arial" w:eastAsia="Arial" w:hAnsi="Arial" w:cs="Arial"/>
          <w:color w:val="000000"/>
          <w:sz w:val="20"/>
          <w:szCs w:val="20"/>
          <w:lang w:val="en-ID"/>
        </w:rPr>
      </w:pPr>
      <w:r w:rsidRPr="004A1DC6">
        <w:rPr>
          <w:rFonts w:ascii="Arial" w:eastAsia="Arial" w:hAnsi="Arial" w:cs="Arial"/>
          <w:color w:val="000000"/>
          <w:sz w:val="20"/>
          <w:szCs w:val="20"/>
          <w:lang w:val="en-ID"/>
        </w:rPr>
        <w:t xml:space="preserve">Theologically, Islam does not reject change or progress. The dynamic nature of Islamic law in Indonesia provides space for tajdid (renewal); however, such renewal must remain within the framework of </w:t>
      </w:r>
      <w:proofErr w:type="spellStart"/>
      <w:r w:rsidRPr="004A1DC6">
        <w:rPr>
          <w:rFonts w:ascii="Arial" w:eastAsia="Arial" w:hAnsi="Arial" w:cs="Arial"/>
          <w:color w:val="000000"/>
          <w:sz w:val="20"/>
          <w:szCs w:val="20"/>
          <w:lang w:val="en-ID"/>
        </w:rPr>
        <w:t>shari'a</w:t>
      </w:r>
      <w:proofErr w:type="spellEnd"/>
      <w:r w:rsidRPr="004A1DC6">
        <w:rPr>
          <w:rFonts w:ascii="Arial" w:eastAsia="Arial" w:hAnsi="Arial" w:cs="Arial"/>
          <w:color w:val="000000"/>
          <w:sz w:val="20"/>
          <w:szCs w:val="20"/>
          <w:lang w:val="en-ID"/>
        </w:rPr>
        <w:t>, meaning that the spirit of renewal cannot disregard or deviate from the fundamental objectives established by Islamic teachings</w:t>
      </w:r>
      <w:r>
        <w:rPr>
          <w:rFonts w:ascii="Arial" w:eastAsia="Arial" w:hAnsi="Arial" w:cs="Arial"/>
          <w:color w:val="000000"/>
          <w:sz w:val="20"/>
          <w:szCs w:val="20"/>
          <w:lang w:val="en-ID"/>
        </w:rPr>
        <w:t xml:space="preserve"> </w:t>
      </w:r>
      <w:r w:rsidR="00E85B7D">
        <w:rPr>
          <w:rFonts w:ascii="Arial" w:eastAsia="Arial" w:hAnsi="Arial" w:cs="Arial"/>
          <w:color w:val="000000"/>
          <w:sz w:val="20"/>
          <w:szCs w:val="20"/>
          <w:vertAlign w:val="superscript"/>
          <w:lang w:val="en-GB"/>
        </w:rPr>
        <w:fldChar w:fldCharType="begin"/>
      </w:r>
      <w:r w:rsidR="00E85B7D">
        <w:rPr>
          <w:rFonts w:ascii="Arial" w:eastAsia="Arial" w:hAnsi="Arial" w:cs="Arial"/>
          <w:color w:val="000000"/>
          <w:sz w:val="20"/>
          <w:szCs w:val="20"/>
          <w:lang w:val="en-GB"/>
        </w:rPr>
        <w:instrText>ADDIN CSL_CITATION {"citationItems":[{"id":"ITEM-1","itemData":{"ISBN":"9786025396526","abstract":"Indonesia yang merupakan negara mayoritas Muslim terbesar di dunia menjadi kiblat dalam perpolitikan demokrasi Islam dunia.Namun dalam panggung politik kedudukan hukum di negara kedudukan Islam seringkali didesreditkan. Oleh sebab itu, kajian politik Islam menjadi sangat menarik, ketika kepakuman dari masa kemerdekaan hingga orde baru pergerkan Islam sangat terbatas. Pasca keruntuhan orde baru, hukum Islam mulai menunjukan perannya. Alasan tersebut, menjadi daya tarik penulis untuk menelaah hukum Islam masa reformasi. Kajian ini dilakukan menngunakan penelitian hukum normative (normative lawresearch). Hasil penelitian ini menunjukan bahwa dinamika kedudukan hukum Islam di Indonesia sebelum era reformasi tidak memiliki ruang gerak yang luas sedangkan pasca reformasi hukum Islam menjadi bagian dari sumber hukum nasional.","author":[{"dropping-particle":"","family":"Makhrus","given":"","non-dropping-particle":"","parse-names":false,"suffix":""}],"id":"ITEM-1","issued":{"date-parts":[["2019"]]},"publisher":"Ierpro Kreasindo","publisher-place":"Yogyakarta","title":"Dinamika Hukum Islam Di Indonesia","type":"book"},"uris":["http://www.mendeley.com/documents/?uuid=af5c5ace-aecc-42c0-8763-028b0f4c219b"]}],"mendeley":{"formattedCitation":"(Makhrus, 2019)","plainTextFormattedCitation":"(Makhrus, 2019)","previouslyFormattedCitation":"(Makhrus, 2019)"},"properties":{"noteIndex":0},"schema":"https://github.com/citation-style-language/schema/raw/master/csl-citation.json"}</w:instrText>
      </w:r>
      <w:r w:rsidR="00E85B7D">
        <w:rPr>
          <w:rFonts w:ascii="Arial" w:eastAsia="Arial" w:hAnsi="Arial" w:cs="Arial"/>
          <w:color w:val="000000"/>
          <w:sz w:val="20"/>
          <w:szCs w:val="20"/>
          <w:vertAlign w:val="superscript"/>
          <w:lang w:val="en-GB"/>
        </w:rPr>
        <w:fldChar w:fldCharType="separate"/>
      </w:r>
      <w:r w:rsidR="00E85B7D">
        <w:rPr>
          <w:rFonts w:ascii="Arial" w:eastAsia="Arial" w:hAnsi="Arial" w:cs="Arial"/>
          <w:noProof/>
          <w:color w:val="000000"/>
          <w:sz w:val="20"/>
          <w:szCs w:val="20"/>
          <w:lang w:val="en-GB"/>
        </w:rPr>
        <w:t>(Makhrus, 2019)</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en-GB"/>
        </w:rPr>
        <w:t xml:space="preserve">. </w:t>
      </w:r>
      <w:r w:rsidRPr="004A1DC6">
        <w:rPr>
          <w:rFonts w:ascii="Arial" w:eastAsia="Arial" w:hAnsi="Arial" w:cs="Arial"/>
          <w:color w:val="000000"/>
          <w:sz w:val="20"/>
          <w:szCs w:val="20"/>
          <w:lang w:val="en-GB"/>
        </w:rPr>
        <w:t>This principle aligns with the command of Allah in Surah Al-</w:t>
      </w:r>
      <w:proofErr w:type="spellStart"/>
      <w:r w:rsidRPr="004A1DC6">
        <w:rPr>
          <w:rFonts w:ascii="Arial" w:eastAsia="Arial" w:hAnsi="Arial" w:cs="Arial"/>
          <w:color w:val="000000"/>
          <w:sz w:val="20"/>
          <w:szCs w:val="20"/>
          <w:lang w:val="en-GB"/>
        </w:rPr>
        <w:t>Hashr</w:t>
      </w:r>
      <w:proofErr w:type="spellEnd"/>
      <w:r w:rsidRPr="004A1DC6">
        <w:rPr>
          <w:rFonts w:ascii="Arial" w:eastAsia="Arial" w:hAnsi="Arial" w:cs="Arial"/>
          <w:color w:val="000000"/>
          <w:sz w:val="20"/>
          <w:szCs w:val="20"/>
          <w:lang w:val="en-GB"/>
        </w:rPr>
        <w:t>, verse 7:</w:t>
      </w:r>
      <w:r>
        <w:rPr>
          <w:rFonts w:ascii="Arial" w:eastAsia="Arial" w:hAnsi="Arial" w:cs="Arial"/>
          <w:color w:val="000000"/>
          <w:sz w:val="20"/>
          <w:szCs w:val="20"/>
          <w:lang w:val="en-GB"/>
        </w:rPr>
        <w:t xml:space="preserve"> </w:t>
      </w:r>
    </w:p>
    <w:p w:rsidR="00761C3A" w:rsidRPr="004A1DC6" w:rsidRDefault="00E85B7D" w:rsidP="0044342A">
      <w:pPr>
        <w:pStyle w:val="Quote"/>
        <w:spacing w:line="480" w:lineRule="auto"/>
        <w:rPr>
          <w:rStyle w:val="Emphasis"/>
          <w:rFonts w:ascii="Arial" w:hAnsi="Arial" w:cs="Arial"/>
          <w:sz w:val="20"/>
          <w:szCs w:val="20"/>
        </w:rPr>
      </w:pPr>
      <w:proofErr w:type="spellStart"/>
      <w:r w:rsidRPr="004A1DC6">
        <w:rPr>
          <w:rStyle w:val="Emphasis"/>
          <w:rFonts w:ascii="Arial" w:hAnsi="Arial" w:cs="Arial"/>
          <w:sz w:val="20"/>
          <w:szCs w:val="20"/>
        </w:rPr>
        <w:t>مَآ</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اٰتٰىكُمُ</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الرَّسُوْلُ</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فَخُذُوْهُ</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وَمَا</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نَهٰىكُمْ</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عَنْهُ</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فَانْتَهُوْاۚ</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وَاتَّقُوا</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اللّٰهَ</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ۗاِنَّ</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اللّٰهَ</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شَدِيْدُ</w:t>
      </w:r>
      <w:proofErr w:type="spellEnd"/>
      <w:r w:rsidRPr="004A1DC6">
        <w:rPr>
          <w:rStyle w:val="Emphasis"/>
          <w:rFonts w:ascii="Arial" w:hAnsi="Arial" w:cs="Arial"/>
          <w:sz w:val="20"/>
          <w:szCs w:val="20"/>
        </w:rPr>
        <w:t xml:space="preserve"> </w:t>
      </w:r>
      <w:proofErr w:type="spellStart"/>
      <w:r w:rsidRPr="004A1DC6">
        <w:rPr>
          <w:rStyle w:val="Emphasis"/>
          <w:rFonts w:ascii="Arial" w:hAnsi="Arial" w:cs="Arial"/>
          <w:sz w:val="20"/>
          <w:szCs w:val="20"/>
        </w:rPr>
        <w:t>الْعِقَابِ</w:t>
      </w:r>
      <w:proofErr w:type="spellEnd"/>
    </w:p>
    <w:p w:rsidR="00761C3A" w:rsidRPr="004A1DC6" w:rsidRDefault="00E85B7D" w:rsidP="0044342A">
      <w:pPr>
        <w:pStyle w:val="Quote"/>
        <w:spacing w:line="480" w:lineRule="auto"/>
        <w:rPr>
          <w:rStyle w:val="Emphasis"/>
          <w:rFonts w:ascii="Arial" w:hAnsi="Arial" w:cs="Arial"/>
          <w:sz w:val="20"/>
          <w:szCs w:val="20"/>
        </w:rPr>
      </w:pPr>
      <w:r w:rsidRPr="004A1DC6">
        <w:rPr>
          <w:rStyle w:val="Emphasis"/>
          <w:rFonts w:ascii="Arial" w:hAnsi="Arial" w:cs="Arial"/>
          <w:sz w:val="20"/>
          <w:szCs w:val="20"/>
        </w:rPr>
        <w:t>“</w:t>
      </w:r>
      <w:r w:rsidR="004A1DC6" w:rsidRPr="004A1DC6">
        <w:rPr>
          <w:rStyle w:val="Emphasis"/>
          <w:rFonts w:ascii="Arial" w:hAnsi="Arial" w:cs="Arial"/>
          <w:sz w:val="20"/>
          <w:szCs w:val="20"/>
        </w:rPr>
        <w:t>Whatever the Messenger gives you, take it; and whatever he forbids you, abstain from it. And fear Allah. Indeed, Allah is severe in punishment.</w:t>
      </w:r>
      <w:r w:rsidRPr="004A1DC6">
        <w:rPr>
          <w:rStyle w:val="Emphasis"/>
          <w:rFonts w:ascii="Arial" w:hAnsi="Arial" w:cs="Arial"/>
          <w:sz w:val="20"/>
          <w:szCs w:val="20"/>
        </w:rPr>
        <w:t>” (QS. Al-</w:t>
      </w:r>
      <w:proofErr w:type="spellStart"/>
      <w:r w:rsidRPr="004A1DC6">
        <w:rPr>
          <w:rStyle w:val="Emphasis"/>
          <w:rFonts w:ascii="Arial" w:hAnsi="Arial" w:cs="Arial"/>
          <w:sz w:val="20"/>
          <w:szCs w:val="20"/>
        </w:rPr>
        <w:t>Hasyr</w:t>
      </w:r>
      <w:proofErr w:type="spellEnd"/>
      <w:r w:rsidRPr="004A1DC6">
        <w:rPr>
          <w:rStyle w:val="Emphasis"/>
          <w:rFonts w:ascii="Arial" w:hAnsi="Arial" w:cs="Arial"/>
          <w:sz w:val="20"/>
          <w:szCs w:val="20"/>
        </w:rPr>
        <w:t xml:space="preserve">: 7) </w:t>
      </w:r>
    </w:p>
    <w:p w:rsidR="000C2F88" w:rsidRDefault="004A1DC6" w:rsidP="0044342A">
      <w:pPr>
        <w:spacing w:after="0" w:line="480" w:lineRule="auto"/>
        <w:rPr>
          <w:rFonts w:ascii="Arial" w:eastAsia="Arial" w:hAnsi="Arial" w:cs="Arial"/>
          <w:color w:val="000000"/>
          <w:sz w:val="20"/>
          <w:szCs w:val="20"/>
          <w:lang w:val="de-LU"/>
        </w:rPr>
      </w:pPr>
      <w:r w:rsidRPr="004A1DC6">
        <w:rPr>
          <w:rFonts w:ascii="Arial" w:eastAsia="Arial" w:hAnsi="Arial" w:cs="Arial"/>
          <w:color w:val="000000"/>
          <w:sz w:val="20"/>
          <w:szCs w:val="20"/>
          <w:lang w:val="de-LU"/>
        </w:rPr>
        <w:t xml:space="preserve">This verse underscores the importance of upholding the teachings of the Prophet Muhammad as the primary guidance in all aspects of life, including in responding to social change and reform. Therefore, in facing the challenges of modernization, Muslim societies must maintain a strong commitment to Islamic values while remaining open to </w:t>
      </w:r>
      <w:r w:rsidR="000C2F88">
        <w:rPr>
          <w:rFonts w:ascii="Arial" w:eastAsia="Arial" w:hAnsi="Arial" w:cs="Arial"/>
          <w:color w:val="000000"/>
          <w:sz w:val="20"/>
          <w:szCs w:val="20"/>
          <w:lang w:val="de-LU"/>
        </w:rPr>
        <w:t>constructive forms of progress.</w:t>
      </w:r>
    </w:p>
    <w:p w:rsidR="00761C3A" w:rsidRDefault="004A1DC6" w:rsidP="0044342A">
      <w:pPr>
        <w:spacing w:after="0" w:line="480" w:lineRule="auto"/>
        <w:ind w:firstLine="442"/>
        <w:jc w:val="both"/>
        <w:rPr>
          <w:rFonts w:ascii="Arial" w:eastAsia="Arial" w:hAnsi="Arial" w:cs="Arial"/>
          <w:color w:val="000000"/>
          <w:sz w:val="20"/>
          <w:szCs w:val="20"/>
          <w:lang w:val="de-LU"/>
        </w:rPr>
      </w:pPr>
      <w:r w:rsidRPr="004A1DC6">
        <w:rPr>
          <w:rFonts w:ascii="Arial" w:eastAsia="Arial" w:hAnsi="Arial" w:cs="Arial"/>
          <w:color w:val="000000"/>
          <w:sz w:val="20"/>
          <w:szCs w:val="20"/>
          <w:lang w:val="de-LU"/>
        </w:rPr>
        <w:t>Modernization has had significant impacts on Muslim societies, affecting their social, cultural, and religious spheres</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de-LU"/>
        </w:rPr>
        <w:fldChar w:fldCharType="begin"/>
      </w:r>
      <w:r w:rsidR="00E85B7D">
        <w:rPr>
          <w:rFonts w:ascii="Arial" w:eastAsia="Arial" w:hAnsi="Arial" w:cs="Arial"/>
          <w:color w:val="000000"/>
          <w:sz w:val="20"/>
          <w:szCs w:val="20"/>
          <w:lang w:val="de-LU"/>
        </w:rPr>
        <w:instrText>ADDIN CSL_CITATION {"citationItems":[{"id":"ITEM-1","itemData":{"ISSN":"2988-1986","abstract":"Abstrack Modernization is a process of change in every living system such as social economy, culture, politics and technology. Modernization began in the 17th to 19th centuries. The development of modernization focuses on how pre-modern societies become modern through the process of economic, political, social, cultural and technological growth. Modernization in the social and religious spheres has the opportunity to bring progress and changes for the better, but it will also have an impact on negative changes. This research adopted a qualitative approach by analyzing advances and changes in the social and religious spheres in the era of modernization. Based on the analysis of this research, modernization had a significant impact on the social structure, with changes in social values and the adaptation of teaching concepts and religious values. Although both exist and represent a divide between pre-modern and modern values, societies tend to find ways to integrate both. This research provides a clear explanation of how modernization shapes social and religious conditions and how society responds to these influences and changes","author":[{"dropping-particle":"","family":"Niswi","given":"Azra","non-dropping-particle":"","parse-names":false,"suffix":""},{"dropping-particle":"","family":"Putri","given":"Nur Annisa","non-dropping-particle":"","parse-names":false,"suffix":""},{"dropping-particle":"","family":"Novika","given":"Rini","non-dropping-particle":"","parse-names":false,"suffix":""},{"dropping-particle":"","family":"Siregar","given":"Rini Wahyu","non-dropping-particle":"","parse-names":false,"suffix":""}],"container-title":"Triwikrama: Jurnal Multidisiplin Ilmu Sosial","id":"ITEM-1","issue":"11","issued":{"date-parts":[["2024"]]},"page":"71-80","title":"Pengaruh Modernisasi  Terhadap Dinamika Sosial Dan Agama","type":"article-journal","volume":"2"},"uris":["http://www.mendeley.com/documents/?uuid=017305aa-3d71-44f1-8c78-7dd9af5b12b4"]}],"mendeley":{"formattedCitation":"(Niswi, Putri, Novika, &amp; Siregar, 2024)","plainTextFormattedCitation":"(Niswi, Putri, Novika, &amp; Siregar, 2024)","previouslyFormattedCitation":"(Niswi, Putri, Novika, &amp; Siregar, 2024)"},"properties":{"noteIndex":0},"schema":"https://github.com/citation-style-language/schema/raw/master/csl-citation.json"}</w:instrText>
      </w:r>
      <w:r w:rsidR="00E85B7D">
        <w:rPr>
          <w:rFonts w:ascii="Arial" w:eastAsia="Arial" w:hAnsi="Arial" w:cs="Arial"/>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(Niswi, Putri, Novika, &amp; Siregar, 2024)</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 xml:space="preserve">On the one hand, modernization has contributed to improving living standards through advancements in science, technology, </w:t>
      </w:r>
      <w:r w:rsidRPr="004A1DC6">
        <w:rPr>
          <w:rFonts w:ascii="Arial" w:eastAsia="Arial" w:hAnsi="Arial" w:cs="Arial"/>
          <w:color w:val="000000"/>
          <w:sz w:val="20"/>
          <w:szCs w:val="20"/>
          <w:lang w:val="de-LU"/>
        </w:rPr>
        <w:lastRenderedPageBreak/>
        <w:t>education, and economic systems</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author":[{"dropping-particle":"","family":"Baidowi","given":"Muhammad","non-dropping-particle":"","parse-names":false,"suffix":""},{"dropping-particle":"","family":"Hasan","given":"Irsyad","non-dropping-particle":"","parse-names":false,"suffix":""}],"container-title":"Jurnal Pendidikan Sosial Indonesia","id":"ITEM-1","issue":"1","issued":{"date-parts":[["2024"]]},"page":"28-35","title":"Pengaruh Modernisasi Terhadap Struktur Sosial Masyarakat Pedesaan Di Indonesia","type":"article-journal","volume":"2"},"uris":["http://www.mendeley.com/documents/?uuid=b1ae022a-3663-4d67-abfe-72b262dbf0e7"]}],"mendeley":{"formattedCitation":"(Baidowi &amp; Hasan, 2024)","plainTextFormattedCitation":"(Baidowi &amp; Hasan, 2024)","previouslyFormattedCitation":"(Baidowi &amp; Hasan, 2024)"},"properties":{"noteIndex":0},"schema":"https://github.com/citation-style-language/schema/raw/master/csl-citation.json"}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(Baidowi &amp; Hasan, 2024)</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 xml:space="preserve">. </w:t>
      </w:r>
      <w:r w:rsidRPr="004A1DC6">
        <w:rPr>
          <w:rFonts w:ascii="Arial" w:eastAsia="Arial" w:hAnsi="Arial" w:cs="Arial"/>
          <w:color w:val="000000"/>
          <w:sz w:val="20"/>
          <w:szCs w:val="20"/>
          <w:lang w:val="de-LU"/>
        </w:rPr>
        <w:t>Access to information has become more open, public services have become more efficient, and awareness of human rights and social-political participation has increased. On the other hand, modernization has also brought serious challenges, particularly in terms of the disintegration of traditional values, the commercialization of culture, and the rise of individualistic and hedonistic lifestyles that risk undermining the spiritual foundation of society. Within the Indonesian Muslim context, modernization often presents a dilemma between following the currents of global change and safeguarding the purity of religious teachings. Modernization not only produces positive outcomes but also generates negative social issues, including socioeconomic inequality, environmental degradation, rising crime rates, consumerism, and juvenile delinquency</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vertAlign w:val="superscript"/>
          <w:lang w:val="de-LU"/>
        </w:rPr>
        <w:fldChar w:fldCharType="begin"/>
      </w:r>
      <w:r w:rsidR="00E85B7D">
        <w:rPr>
          <w:rFonts w:ascii="Arial" w:eastAsia="Arial" w:hAnsi="Arial" w:cs="Arial"/>
          <w:color w:val="000000"/>
          <w:sz w:val="20"/>
          <w:szCs w:val="20"/>
          <w:lang w:val="de-LU"/>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approach.","author":[{"dropping-particle":"","family":"Matondang","given":"Asnawati","non-dropping-particle":"","parse-names":false,"suffix":""}],"container-title":"Wahana Inovasi","id":"ITEM-1","issue":"2","issued":{"date-parts":[["2019"]]},"title":"Dampak Modernisasi terhadap Kehidupan Sosial Masyarakat","type":"article-journal","volume":"8"},"uris":["http://www.mendeley.com/documents/?uuid=5025d1cf-f3db-4deb-941f-21007ad3bd91"]}],"mendeley":{"formattedCitation":"(Matondang, 2019)","plainTextFormattedCitation":"(Matondang, 2019)","previouslyFormattedCitation":"(Matondang, 2019)"},"properties":{"noteIndex":0},"schema":"https://github.com/citation-style-language/schema/raw/master/csl-citation.json"}</w:instrText>
      </w:r>
      <w:r w:rsidR="00E85B7D">
        <w:rPr>
          <w:rFonts w:ascii="Arial" w:eastAsia="Arial" w:hAnsi="Arial" w:cs="Arial"/>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(Matondang, 2019)</w:t>
      </w:r>
      <w:r w:rsidR="00E85B7D">
        <w:rPr>
          <w:rFonts w:ascii="Arial" w:eastAsia="Arial" w:hAnsi="Arial" w:cs="Arial"/>
          <w:color w:val="000000"/>
          <w:sz w:val="20"/>
          <w:szCs w:val="20"/>
        </w:rPr>
        <w:fldChar w:fldCharType="end"/>
      </w:r>
      <w:r w:rsidR="00E85B7D">
        <w:rPr>
          <w:rFonts w:ascii="Arial" w:eastAsia="Arial" w:hAnsi="Arial" w:cs="Arial"/>
          <w:color w:val="000000"/>
          <w:sz w:val="20"/>
          <w:szCs w:val="20"/>
          <w:lang w:val="de-LU"/>
        </w:rPr>
        <w:t>.</w:t>
      </w:r>
    </w:p>
    <w:p w:rsidR="00761C3A" w:rsidRDefault="004A1DC6" w:rsidP="0044342A">
      <w:pPr>
        <w:pBdr>
          <w:top w:val="nil"/>
          <w:left w:val="nil"/>
          <w:bottom w:val="nil"/>
          <w:right w:val="nil"/>
          <w:between w:val="nil"/>
        </w:pBdr>
        <w:spacing w:after="0" w:line="480" w:lineRule="auto"/>
        <w:ind w:firstLine="442"/>
        <w:jc w:val="both"/>
        <w:rPr>
          <w:rFonts w:ascii="Arial" w:eastAsia="Arial" w:hAnsi="Arial" w:cs="Arial"/>
          <w:color w:val="000000"/>
          <w:sz w:val="20"/>
          <w:szCs w:val="20"/>
          <w:lang w:val="de-LU"/>
        </w:rPr>
      </w:pPr>
      <w:r w:rsidRPr="004A1DC6">
        <w:rPr>
          <w:rFonts w:ascii="Arial" w:eastAsia="Arial" w:hAnsi="Arial" w:cs="Arial"/>
          <w:color w:val="000000"/>
          <w:sz w:val="20"/>
          <w:szCs w:val="20"/>
          <w:lang w:val="de-LU"/>
        </w:rPr>
        <w:t>Indonesian Muslim society faces complex social dynamics in the era of modernization. A</w:t>
      </w:r>
      <w:r w:rsidR="00E85B7D">
        <w:rPr>
          <w:rFonts w:ascii="Arial" w:eastAsia="Arial" w:hAnsi="Arial" w:cs="Arial"/>
          <w:color w:val="000000"/>
          <w:sz w:val="20"/>
          <w:szCs w:val="20"/>
          <w:lang w:val="de-LU"/>
        </w:rPr>
        <w:t>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{"citationItems":[{"id":"ITEM-1","itemData":{"author":[{"dropping-particle":"","family":"Pew Research Center","given":"","non-dropping-particle":"","parse-names":false,"suffix":""}],"id":"ITEM-1","issued":{"date-parts":[["2022"]]},"title":"Religion and modernization in Indonesia","type":"webpage"},"uris":["http://www.mendeley.com/documents/?uuid=8804db24-94c5-44d0-96fd-9a89afb73849"]}],"mendeley":{"formattedCitation":"(Pew Research Center, 2022)","manualFormatting":"Pew Research Center (2022)","plainTextFormattedCitation":"(Pew Research Center, 2022)","previouslyFormattedCitation":"(Pew Research Center, 2022)"},"properties":{"noteIndex":0},"schema":"https://github.com/citation-style-language/schema/raw/master/csl-citation.json"}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Pew Research Center (2022)</w:t>
      </w:r>
      <w:r w:rsidR="00E85B7D">
        <w:rPr>
          <w:rFonts w:ascii="Arial" w:eastAsia="Arial" w:hAnsi="Arial" w:cs="Arial"/>
          <w:color w:val="000000"/>
          <w:sz w:val="20"/>
          <w:szCs w:val="20"/>
          <w:lang w:val="de-LU"/>
        </w:rPr>
        <w:fldChar w:fldCharType="end"/>
      </w:r>
      <w:r w:rsidR="000C2F88">
        <w:rPr>
          <w:rFonts w:ascii="Arial" w:eastAsia="Arial" w:hAnsi="Arial" w:cs="Arial"/>
          <w:color w:val="000000"/>
          <w:sz w:val="20"/>
          <w:szCs w:val="20"/>
          <w:lang w:val="de-LU"/>
        </w:rPr>
        <w:t xml:space="preserve"> </w:t>
      </w:r>
      <w:r w:rsidR="001659DF" w:rsidRPr="001659DF">
        <w:rPr>
          <w:rFonts w:ascii="Arial" w:eastAsia="Arial" w:hAnsi="Arial" w:cs="Arial"/>
          <w:color w:val="000000"/>
          <w:sz w:val="20"/>
          <w:szCs w:val="20"/>
          <w:lang w:val="de-LU"/>
        </w:rPr>
        <w:t>survey revealed that 93% of Indonesian Muslims consider religion to be very important in their lives, yet they are simultaneously exposed to global values through digital technologies. Data from the</w:t>
      </w:r>
      <w:r w:rsidR="00E85B7D">
        <w:rPr>
          <w:rFonts w:ascii="Arial" w:eastAsia="Arial" w:hAnsi="Arial" w:cs="Arial"/>
          <w:color w:val="000000"/>
          <w:sz w:val="20"/>
          <w:szCs w:val="20"/>
          <w:lang w:val="de-LU"/>
        </w:rPr>
        <w:t>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{"citationItems":[{"id":"ITEM-1","itemData":{"author":[{"dropping-particle":"","family":"Kementerian Komunikasi dan Informatika Republik Indonesia","given":"","non-dropping-particle":"","parse-names":false,"suffix":""}],"id":"ITEM-1","issued":{"date-parts":[["2023"]]},"title":"Laporan penggunaan media sosial di kalangan remaja Indonesia","type":"webpage"},"uris":["http://www.mendeley.com/documents/?uuid=a54a0aec-a05b-4713-baac-54ef91e13e16"]}],"mendeley":{"formattedCitation":"(Kementerian Komunikasi dan Informatika Republik Indonesia, 2023)","manualFormatting":"Kementerian Komunikasi dan Informatika (2023)","plainTextFormattedCitation":"(Kementerian Komunikasi dan Informatika Republik Indonesia, 2023)","previouslyFormattedCitation":"(Kementerian Komunikasi dan Informatika Republik Indonesia, 2023)"},"properties":{"noteIndex":0},"schema":"https://github.com/citation-style-language/schema/raw/master/csl-citation.json"}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Kementerian Komunikasi dan Informatika (2023)</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 </w:t>
      </w:r>
      <w:r w:rsidR="001659DF" w:rsidRPr="001659DF">
        <w:rPr>
          <w:rFonts w:ascii="Arial" w:eastAsia="Arial" w:hAnsi="Arial" w:cs="Arial"/>
          <w:color w:val="000000"/>
          <w:sz w:val="20"/>
          <w:szCs w:val="20"/>
          <w:lang w:val="de-LU"/>
        </w:rPr>
        <w:t>indicates that 73% of Muslim youth actively use social media, with 60% of them exposed to Western cultural content that often contradicts Islamic values. This situation has triggered an identity crisis, as demonstrated by</w:t>
      </w:r>
      <w:r w:rsidR="001659DF">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t>Nurlaela (2024)</w:t>
      </w:r>
      <w:r w:rsidR="001659DF">
        <w:rPr>
          <w:rFonts w:ascii="Arial" w:eastAsia="Arial" w:hAnsi="Arial" w:cs="Arial"/>
          <w:color w:val="000000"/>
          <w:sz w:val="20"/>
          <w:szCs w:val="20"/>
          <w:lang w:val="de-LU"/>
        </w:rPr>
        <w:t xml:space="preserve"> </w:t>
      </w:r>
      <w:r w:rsidR="001659DF" w:rsidRPr="001659DF">
        <w:rPr>
          <w:rFonts w:ascii="Arial" w:eastAsia="Arial" w:hAnsi="Arial" w:cs="Arial"/>
          <w:color w:val="000000"/>
          <w:sz w:val="20"/>
          <w:szCs w:val="20"/>
          <w:lang w:val="de-LU"/>
        </w:rPr>
        <w:t>research at Muhammadiyah Vocational High School in Jakarta, where 40% of students reported difficulties reconciling religious values with modern lifestyles. Economically</w:t>
      </w:r>
      <w:r w:rsidR="00E85B7D">
        <w:rPr>
          <w:rFonts w:ascii="Arial" w:eastAsia="Arial" w:hAnsi="Arial" w:cs="Arial"/>
          <w:color w:val="000000"/>
          <w:sz w:val="20"/>
          <w:szCs w:val="20"/>
          <w:lang w:val="de-LU"/>
        </w:rPr>
        <w:t>,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{"citationItems":[{"id":"ITEM-1","itemData":{"author":[{"dropping-particle":"","family":"Badan Pusat Statistik","given":"","non-dropping-particle":"","parse-names":false,"suffix":""}],"id":"ITEM-1","issued":{"date-parts":[["2023"]]},"title":"Statistik ketimpangan sosial dan ekonomi Indonesia","type":"webpage"},"uris":["http://www.mendeley.com/documents/?uuid=f4f31a36-1609-4d45-a99a-a2ecfb374155"]}],"mendeley":{"formattedCitation":"(Badan Pusat Statistik, 2023)","manualFormatting":"BPS (2023)","plainTextFormattedCitation":"(Badan Pusat Statistik, 2023)","previouslyFormattedCitation":"(Badan Pusat Statistik, 2023)"},"properties":{"noteIndex":0},"schema":"https://github.com/citation-style-language/schema/raw/master/csl-citation.json"}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BPS (2023)</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 </w:t>
      </w:r>
      <w:r w:rsidR="001659DF" w:rsidRPr="001659DF">
        <w:rPr>
          <w:rFonts w:ascii="Arial" w:eastAsia="Arial" w:hAnsi="Arial" w:cs="Arial"/>
          <w:color w:val="000000"/>
          <w:sz w:val="20"/>
          <w:szCs w:val="20"/>
          <w:lang w:val="de-LU"/>
        </w:rPr>
        <w:t>reported an increase in social inequality, with the Gini coefficient reaching 0.38, exacerbating consumerism and unequal access to education. Meanwhile, internal polarization between conservative and progressive groups is evident, with a survey by</w:t>
      </w:r>
      <w:r w:rsidR="00E85B7D">
        <w:rPr>
          <w:rFonts w:ascii="Arial" w:eastAsia="Arial" w:hAnsi="Arial" w:cs="Arial"/>
          <w:color w:val="000000"/>
          <w:sz w:val="20"/>
          <w:szCs w:val="20"/>
          <w:lang w:val="de-LU"/>
        </w:rPr>
        <w:t>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{"citationItems":[{"id":"ITEM-1","itemData":{"author":[{"dropping-particle":"","family":"Lembaga Ilmu Pengetahuan Indonesia","given":"","non-dropping-particle":"","parse-names":false,"suffix":""}],"id":"ITEM-1","issued":{"date-parts":[["2023"]]},"title":"Survei polarisasi pemikiran keagamaan di Indonesia","type":"webpage"},"uris":["http://www.mendeley.com/documents/?uuid=9feae651-e461-48a1-8aa9-681bf7c8405e"]}],"mendeley":{"formattedCitation":"(Lembaga Ilmu Pengetahuan Indonesia, 2023)","manualFormatting":"LIPI (2023)","plainTextFormattedCitation":"(Lembaga Ilmu Pengetahuan Indonesia, 2023)","previouslyFormattedCitation":"(Lembaga Ilmu Pengetahuan Indonesia, 2023)"},"properties":{"noteIndex":0},"schema":"https://github.com/citation-style-language/schema/raw/master/csl-citation.json"}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LIPI (2023)</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w:t>
      </w:r>
      <w:r w:rsidR="001659DF">
        <w:rPr>
          <w:rFonts w:ascii="Arial" w:eastAsia="Arial" w:hAnsi="Arial" w:cs="Arial"/>
          <w:color w:val="000000"/>
          <w:sz w:val="20"/>
          <w:szCs w:val="20"/>
          <w:lang w:val="de-LU"/>
        </w:rPr>
        <w:t xml:space="preserve"> </w:t>
      </w:r>
      <w:r w:rsidR="001659DF" w:rsidRPr="001659DF">
        <w:rPr>
          <w:rFonts w:ascii="Arial" w:eastAsia="Arial" w:hAnsi="Arial" w:cs="Arial"/>
          <w:color w:val="000000"/>
          <w:sz w:val="20"/>
          <w:szCs w:val="20"/>
          <w:lang w:val="de-LU"/>
        </w:rPr>
        <w:t>showing that 35% of the population supports reform in Islamic thought, while 45% prefer to preserve tradition. These challenges demand a holistic strategy, including strengthening context-based Islamic education and utilizing digital media for religious outreach</w:t>
      </w:r>
      <w:r w:rsidR="001659DF">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{"citationItems":[{"id":"ITEM-1","itemData":{"DOI":"10.47134/pjpi.v1i4.758","abstract":"Artikel ini mengkaji tantangan dan peluang yang dihadapi pendidikan Islam dalam konteks modern. Pendidikan Islam berada di persimpangan antara tradisi dan modernitas, mengharuskan adaptasi terhadap perkembangan teknologi dan globalisasi. Tantangan utama termasuk bagaimana mempertahankan nilai-nilai inti agama dalam lingkungan yang semakin sekuler dan serba cepat. Namun, dalam tantangan ini terbuka pula peluang untuk memanfaatkan teknologi sebagai alat untuk penyebaran dan pemahaman yang lebih luas terhadap Islam. Artikel ini juga mengeksplorasi upaya-upaya dalam meningkatkan kualitas pendidikan Islam yang inklusif dan relevan dalam masyarakat modern.","author":[{"dropping-particle":"","family":"Johan","given":"Budi","non-dropping-particle":"","parse-names":false,"suffix":""},{"dropping-particle":"","family":"Husnah","given":"Farah Miftahul","non-dropping-particle":"","parse-names":false,"suffix":""},{"dropping-particle":"","family":"Puteri","given":"Alfianti Darma","non-dropping-particle":"","parse-names":false,"suffix":""},{"dropping-particle":"","family":"Hartami","given":"Hartami","non-dropping-particle":"","parse-names":false,"suffix":""},{"dropping-particle":"","family":"Rahmah","given":"Ahda Alifia","non-dropping-particle":"","parse-names":false,"suffix":""},{"dropping-particle":"","family":"Adnin","given":"Anzili Rahma Jannati","non-dropping-particle":"","parse-names":false,"suffix":""}],"container-title":"Jurnal Pendidikan Islam","id":"ITEM-1","issue":"4","issued":{"date-parts":[["2024"]]},"page":"13","title":"Tantangan dan Peluang Pendidikan Islam dalam Konteks Modern","type":"article-journal","volume":"1"},"uris":["http://www.mendeley.com/documents/?uuid=5f0bbf1d-92bf-4255-ba8e-e9528613dc70"]}],"mendeley":{"formattedCitation":"(Johan et al., 2024)","plainTextFormattedCitation":"(Johan et al., 2024)","previouslyFormattedCitation":"(Johan et al., 2024)"},"properties":{"noteIndex":0},"schema":"https://github.com/citation-style-language/schema/raw/master/csl-citation.json"}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(Johan et al., 2024)</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w:t>
      </w:r>
    </w:p>
    <w:p w:rsidR="001659DF" w:rsidRDefault="001659DF" w:rsidP="0044342A">
      <w:pPr>
        <w:pBdr>
          <w:top w:val="nil"/>
          <w:left w:val="nil"/>
          <w:bottom w:val="nil"/>
          <w:right w:val="nil"/>
          <w:between w:val="nil"/>
        </w:pBdr>
        <w:spacing w:after="0" w:line="480" w:lineRule="auto"/>
        <w:ind w:firstLine="442"/>
        <w:jc w:val="both"/>
        <w:rPr>
          <w:rFonts w:ascii="Arial" w:hAnsi="Arial" w:cs="Arial"/>
          <w:sz w:val="20"/>
          <w:szCs w:val="20"/>
          <w:lang w:val="de-LU"/>
        </w:rPr>
      </w:pPr>
      <w:r w:rsidRPr="001659DF">
        <w:rPr>
          <w:rFonts w:ascii="Arial" w:hAnsi="Arial" w:cs="Arial"/>
          <w:sz w:val="20"/>
          <w:szCs w:val="20"/>
          <w:lang w:val="de-LU"/>
        </w:rPr>
        <w:t xml:space="preserve">This literature review is particularly relevant amid increasingly complex global challenges. In the socio-religious context, modernization not only brings technological and structural change but also affects values, culture, and religious identity. Therefore, comprehensive studies are needed to examine the extent to which modernization influences the religious life of Muslim communities </w:t>
      </w:r>
      <w:r w:rsidRPr="001659DF">
        <w:rPr>
          <w:rFonts w:ascii="Arial" w:hAnsi="Arial" w:cs="Arial"/>
          <w:sz w:val="20"/>
          <w:szCs w:val="20"/>
          <w:lang w:val="de-LU"/>
        </w:rPr>
        <w:lastRenderedPageBreak/>
        <w:t>and how Islamic values can serve as a moral and ethical foundation for filtering the negative impacts of modernization. This research is essential, as it can contribute to reinforcing a contextual and adaptive understanding of religion in response to contemporary transformations, while simultaneously ensuring the continuity of Islamic values within an evolving social environment. Furthermore, this study is expected to serve as a reference for developing religious social policies aimed at building a progressive society that remains rooted in shari'a principles.</w:t>
      </w:r>
      <w:r>
        <w:rPr>
          <w:rFonts w:ascii="Arial" w:hAnsi="Arial" w:cs="Arial"/>
          <w:sz w:val="20"/>
          <w:szCs w:val="20"/>
          <w:lang w:val="de-LU"/>
        </w:rPr>
        <w:t xml:space="preserve"> </w:t>
      </w:r>
    </w:p>
    <w:p w:rsidR="00761C3A" w:rsidRDefault="001659DF" w:rsidP="0044342A">
      <w:pPr>
        <w:pBdr>
          <w:top w:val="nil"/>
          <w:left w:val="nil"/>
          <w:bottom w:val="nil"/>
          <w:right w:val="nil"/>
          <w:between w:val="nil"/>
        </w:pBdr>
        <w:spacing w:after="0" w:line="480" w:lineRule="auto"/>
        <w:ind w:firstLine="442"/>
        <w:jc w:val="both"/>
        <w:rPr>
          <w:rFonts w:ascii="Arial" w:eastAsia="Arial" w:hAnsi="Arial" w:cs="Arial"/>
          <w:color w:val="000000"/>
          <w:sz w:val="20"/>
          <w:szCs w:val="20"/>
          <w:lang w:val="de-LU"/>
        </w:rPr>
      </w:pPr>
      <w:r w:rsidRPr="001659DF">
        <w:rPr>
          <w:rFonts w:ascii="Arial" w:eastAsia="Arial" w:hAnsi="Arial" w:cs="Arial"/>
          <w:color w:val="000000"/>
          <w:sz w:val="20"/>
          <w:szCs w:val="20"/>
          <w:lang w:val="en-ID"/>
        </w:rPr>
        <w:t>This research adopts a qualitative approach through a literature study. The qualitative approach is chosen for its ability to reveal meanings, patterns, and the complexity of socio-religious phenomena in a holistic manner</w:t>
      </w:r>
      <w:r>
        <w:rPr>
          <w:rFonts w:ascii="Arial" w:eastAsia="Arial" w:hAnsi="Arial" w:cs="Arial"/>
          <w:color w:val="000000"/>
          <w:sz w:val="20"/>
          <w:szCs w:val="20"/>
          <w:lang w:val="en-ID"/>
        </w:rPr>
        <w:t xml:space="preserve"> </w:t>
      </w:r>
      <w:r w:rsidR="00E85B7D">
        <w:rPr>
          <w:rFonts w:ascii="Arial" w:eastAsia="Arial" w:hAnsi="Arial" w:cs="Arial"/>
          <w:color w:val="000000"/>
          <w:sz w:val="20"/>
          <w:szCs w:val="20"/>
          <w:lang w:val="en-ID"/>
        </w:rPr>
        <w:fldChar w:fldCharType="begin"/>
      </w:r>
      <w:r w:rsidR="00E85B7D">
        <w:rPr>
          <w:rFonts w:ascii="Arial" w:eastAsia="Arial" w:hAnsi="Arial" w:cs="Arial"/>
          <w:color w:val="000000"/>
          <w:sz w:val="20"/>
          <w:szCs w:val="20"/>
          <w:lang w:val="en-ID"/>
        </w:rPr>
        <w:instrText>ADDIN CSL_CITATION {"citationItems":[{"id":"ITEM-1","itemData":{"author":[{"dropping-particle":"","family":"Creswell","given":"J. W.","non-dropping-particle":"","parse-names":false,"suffix":""}],"id":"ITEM-1","issued":{"date-parts":[["2014"]]},"publisher":"Sage","publisher-place":"Thousand Oaks, CA","title":"Research Design: Qualitative, Quantitative and Mixed Methods Approaches","type":"book"},"uris":["http://www.mendeley.com/documents/?uuid=363d1cf5-1df6-44c7-ae0c-58e9eb742675"]}],"mendeley":{"formattedCitation":"(Creswell, 2014)","plainTextFormattedCitation":"(Creswell, 2014)","previouslyFormattedCitation":"(Creswell, 2014)"},"properties":{"noteIndex":0},"schema":"https://github.com/citation-style-language/schema/raw/master/csl-citation.json"}</w:instrText>
      </w:r>
      <w:r w:rsidR="00E85B7D">
        <w:rPr>
          <w:rFonts w:ascii="Arial" w:eastAsia="Arial" w:hAnsi="Arial" w:cs="Arial"/>
          <w:color w:val="000000"/>
          <w:sz w:val="20"/>
          <w:szCs w:val="20"/>
          <w:lang w:val="en-ID"/>
        </w:rPr>
        <w:fldChar w:fldCharType="separate"/>
      </w:r>
      <w:r w:rsidR="00E85B7D">
        <w:rPr>
          <w:rFonts w:ascii="Arial" w:eastAsia="Arial" w:hAnsi="Arial" w:cs="Arial"/>
          <w:noProof/>
          <w:color w:val="000000"/>
          <w:sz w:val="20"/>
          <w:szCs w:val="20"/>
          <w:lang w:val="en-ID"/>
        </w:rPr>
        <w:t>(Creswell, 2014)</w:t>
      </w:r>
      <w:r w:rsidR="00E85B7D">
        <w:rPr>
          <w:rFonts w:ascii="Arial" w:eastAsia="Arial" w:hAnsi="Arial" w:cs="Arial"/>
          <w:color w:val="000000"/>
          <w:sz w:val="20"/>
          <w:szCs w:val="20"/>
          <w:lang w:val="en-ID"/>
        </w:rPr>
        <w:fldChar w:fldCharType="end"/>
      </w:r>
      <w:r w:rsidR="00E85B7D">
        <w:rPr>
          <w:rFonts w:ascii="Arial" w:eastAsia="Arial" w:hAnsi="Arial" w:cs="Arial"/>
          <w:color w:val="000000"/>
          <w:sz w:val="20"/>
          <w:szCs w:val="20"/>
          <w:lang w:val="en-ID"/>
        </w:rPr>
        <w:t xml:space="preserve">. </w:t>
      </w:r>
      <w:r w:rsidRPr="001659DF">
        <w:rPr>
          <w:rFonts w:ascii="Arial" w:eastAsia="Arial" w:hAnsi="Arial" w:cs="Arial"/>
          <w:color w:val="000000"/>
          <w:sz w:val="20"/>
          <w:szCs w:val="20"/>
          <w:lang w:val="en-ID"/>
        </w:rPr>
        <w:t>Data is collected through critical examination of credible academic sources, including peer-reviewed journals, reference books, and policy documents related to modernization and Muslim communities, published between 2014 and 2024. The analysis process follows an interactive model consisting of: (1) identifying key themes within the literature, (2) categorizing challenges and corresponding response strategies, and (3) conducting contextual interpretations using the theoretical framework of social change</w:t>
      </w:r>
      <w:r>
        <w:rPr>
          <w:rFonts w:ascii="Arial" w:eastAsia="Arial" w:hAnsi="Arial" w:cs="Arial"/>
          <w:color w:val="000000"/>
          <w:sz w:val="20"/>
          <w:szCs w:val="20"/>
          <w:lang w:val="en-ID"/>
        </w:rPr>
        <w:t xml:space="preserve"> </w:t>
      </w:r>
      <w:r w:rsidR="00E85B7D">
        <w:rPr>
          <w:rFonts w:ascii="Arial" w:eastAsia="Arial" w:hAnsi="Arial" w:cs="Arial"/>
          <w:color w:val="000000"/>
          <w:sz w:val="20"/>
          <w:szCs w:val="20"/>
          <w:vertAlign w:val="superscript"/>
          <w:lang w:val="de-LU"/>
        </w:rPr>
        <w:fldChar w:fldCharType="begin"/>
      </w:r>
      <w:r w:rsidR="00E85B7D">
        <w:rPr>
          <w:rFonts w:ascii="Arial" w:eastAsia="Arial" w:hAnsi="Arial" w:cs="Arial"/>
          <w:color w:val="000000"/>
          <w:sz w:val="20"/>
          <w:szCs w:val="20"/>
          <w:lang w:val="de-LU"/>
        </w:rPr>
        <w:instrText>ADDIN CSL_CITATION {"citationItems":[{"id":"ITEM-1","itemData":{"author":[{"dropping-particle":"","family":"Soekanto","given":"Soerjono","non-dropping-particle":"","parse-names":false,"suffix":""}],"id":"ITEM-1","issued":{"date-parts":[["2015"]]},"publisher":"PT. Rajawali Pers","publisher-place":"Jakarta","title":"Sosiologi: Suatu Pengantar","type":"book"},"uris":["http://www.mendeley.com/documents/?uuid=c075f195-54b6-483c-87d9-b2e47215142e"]}],"mendeley":{"formattedCitation":"(Soekanto, 2015)","manualFormatting":"(Soekanto, 2015)","plainTextFormattedCitation":"(Soekanto, 2015)","previouslyFormattedCitation":"(Soekanto, 2015b)"},"properties":{"noteIndex":0},"schema":"https://github.com/citation-style-language/schema/raw/master/csl-citation.json"}</w:instrText>
      </w:r>
      <w:r w:rsidR="00E85B7D">
        <w:rPr>
          <w:rFonts w:ascii="Arial" w:eastAsia="Arial" w:hAnsi="Arial" w:cs="Arial"/>
          <w:color w:val="000000"/>
          <w:sz w:val="20"/>
          <w:szCs w:val="20"/>
          <w:vertAlign w:val="superscript"/>
          <w:lang w:val="de-LU"/>
        </w:rPr>
        <w:fldChar w:fldCharType="separate"/>
      </w:r>
      <w:r w:rsidR="00E85B7D">
        <w:rPr>
          <w:rFonts w:ascii="Arial" w:eastAsia="Arial" w:hAnsi="Arial" w:cs="Arial"/>
          <w:noProof/>
          <w:color w:val="000000"/>
          <w:sz w:val="20"/>
          <w:szCs w:val="20"/>
          <w:lang w:val="de-LU"/>
        </w:rPr>
        <w:t>(Soekanto, 2015)</w:t>
      </w:r>
      <w:r w:rsidR="00E85B7D">
        <w:rPr>
          <w:rFonts w:ascii="Arial" w:eastAsia="Arial" w:hAnsi="Arial" w:cs="Arial"/>
          <w:color w:val="000000"/>
          <w:sz w:val="20"/>
          <w:szCs w:val="20"/>
        </w:rPr>
        <w:fldChar w:fldCharType="end"/>
      </w:r>
      <w:r w:rsidR="000C2F88">
        <w:rPr>
          <w:rFonts w:ascii="Arial" w:eastAsia="Arial" w:hAnsi="Arial" w:cs="Arial"/>
          <w:color w:val="000000"/>
          <w:sz w:val="20"/>
          <w:szCs w:val="20"/>
          <w:lang w:val="de-LU"/>
        </w:rPr>
        <w:t xml:space="preserve"> </w:t>
      </w:r>
      <w:r w:rsidRPr="001659DF">
        <w:rPr>
          <w:rFonts w:ascii="Arial" w:eastAsia="Arial" w:hAnsi="Arial" w:cs="Arial"/>
          <w:color w:val="000000"/>
          <w:sz w:val="20"/>
          <w:szCs w:val="20"/>
          <w:lang w:val="de-LU"/>
        </w:rPr>
        <w:t>and the concept of tajdid in Islam</w:t>
      </w:r>
      <w:r>
        <w:rPr>
          <w:rFonts w:ascii="Arial" w:eastAsia="Arial" w:hAnsi="Arial" w:cs="Arial"/>
          <w:color w:val="000000"/>
          <w:sz w:val="20"/>
          <w:szCs w:val="20"/>
          <w:lang w:val="de-LU"/>
        </w:rPr>
        <w:t xml:space="preserve"> </w:t>
      </w:r>
      <w:r w:rsidR="00E85B7D">
        <w:rPr>
          <w:rFonts w:ascii="Arial" w:eastAsia="Arial" w:hAnsi="Arial" w:cs="Arial"/>
          <w:color w:val="000000"/>
          <w:sz w:val="20"/>
          <w:szCs w:val="20"/>
          <w:lang w:val="de-LU"/>
        </w:rPr>
        <w:fldChar w:fldCharType="begin"/>
      </w:r>
      <w:r w:rsidR="00E85B7D">
        <w:rPr>
          <w:rFonts w:ascii="Arial" w:eastAsia="Arial" w:hAnsi="Arial" w:cs="Arial"/>
          <w:color w:val="000000"/>
          <w:sz w:val="20"/>
          <w:szCs w:val="20"/>
          <w:lang w:val="de-LU"/>
        </w:rPr>
        <w:instrText>ADDIN CSL_CITATION {"citationItems":[{"id":"ITEM-1","itemData":{"ISBN":"9786025396526","abstract":"Indonesia yang merupakan negara mayoritas Muslim terbesar di dunia menjadi kiblat dalam perpolitikan demokrasi Islam dunia.Namun dalam panggung politik kedudukan hukum di negara kedudukan Islam seringkali didesreditkan. Oleh sebab itu, kajian politik Islam menjadi sangat menarik, ketika kepakuman dari masa kemerdekaan hingga orde baru pergerkan Islam sangat terbatas. Pasca keruntuhan orde baru, hukum Islam mulai menunjukan perannya. Alasan tersebut, menjadi daya tarik penulis untuk menelaah hukum Islam masa reformasi. Kajian ini dilakukan menngunakan penelitian hukum normative (normative lawresearch). Hasil penelitian ini menunjukan bahwa dinamika kedudukan hukum Islam di Indonesia sebelum era reformasi tidak memiliki ruang gerak yang luas sedangkan pasca reformasi hukum Islam menjadi bagian dari sumber hukum nasional.","author":[{"dropping-particle":"","family":"Makhrus","given":"","non-dropping-particle":"","parse-names":false,"suffix":""}],"id":"ITEM-1","issued":{"date-parts":[["2019"]]},"publisher":"Ierpro Kreasindo","publisher-place":"Yogyakarta","title":"Dinamika Hukum Islam Di Indonesia","type":"book"},"uris":["http://www.mendeley.com/documents/?uuid=af5c5ace-aecc-42c0-8763-028b0f4c219b"]}],"mendeley":{"formattedCitation":"(Makhrus, 2019)","plainTextFormattedCitation":"(Makhrus, 2019)"},"properties":{"noteIndex":0},"schema":"https://github.com/citation-style-language/schema/raw/master/csl-citation.json"}</w:instrText>
      </w:r>
      <w:r w:rsidR="00E85B7D">
        <w:rPr>
          <w:rFonts w:ascii="Arial" w:eastAsia="Arial" w:hAnsi="Arial" w:cs="Arial"/>
          <w:color w:val="000000"/>
          <w:sz w:val="20"/>
          <w:szCs w:val="20"/>
          <w:lang w:val="de-LU"/>
        </w:rPr>
        <w:fldChar w:fldCharType="separate"/>
      </w:r>
      <w:r w:rsidR="00E85B7D">
        <w:rPr>
          <w:rFonts w:ascii="Arial" w:eastAsia="Arial" w:hAnsi="Arial" w:cs="Arial"/>
          <w:noProof/>
          <w:color w:val="000000"/>
          <w:sz w:val="20"/>
          <w:szCs w:val="20"/>
          <w:lang w:val="de-LU"/>
        </w:rPr>
        <w:t>(Makhrus, 2019)</w:t>
      </w:r>
      <w:r w:rsidR="00E85B7D">
        <w:rPr>
          <w:rFonts w:ascii="Arial" w:eastAsia="Arial" w:hAnsi="Arial" w:cs="Arial"/>
          <w:color w:val="000000"/>
          <w:sz w:val="20"/>
          <w:szCs w:val="20"/>
          <w:lang w:val="de-LU"/>
        </w:rPr>
        <w:fldChar w:fldCharType="end"/>
      </w:r>
      <w:r w:rsidR="00E85B7D">
        <w:rPr>
          <w:rFonts w:ascii="Arial" w:eastAsia="Arial" w:hAnsi="Arial" w:cs="Arial"/>
          <w:color w:val="000000"/>
          <w:sz w:val="20"/>
          <w:szCs w:val="20"/>
          <w:lang w:val="de-LU"/>
        </w:rPr>
        <w:t xml:space="preserve">. </w:t>
      </w:r>
      <w:r w:rsidRPr="001659DF">
        <w:rPr>
          <w:rFonts w:ascii="Arial" w:eastAsia="Arial" w:hAnsi="Arial" w:cs="Arial"/>
          <w:color w:val="000000"/>
          <w:sz w:val="20"/>
          <w:szCs w:val="20"/>
          <w:lang w:val="de-LU"/>
        </w:rPr>
        <w:t>Data validity is maintained through source triangulation and cross-verification of findings across the reviewed literature. This method enables an in-depth understanding of how Islamic values adapt within the dynamics of modernization.</w:t>
      </w:r>
      <w:r>
        <w:rPr>
          <w:rFonts w:ascii="Arial" w:eastAsia="Arial" w:hAnsi="Arial" w:cs="Arial"/>
          <w:color w:val="000000"/>
          <w:sz w:val="20"/>
          <w:szCs w:val="20"/>
          <w:lang w:val="de-LU"/>
        </w:rPr>
        <w:t xml:space="preserve"> </w:t>
      </w:r>
    </w:p>
    <w:p w:rsidR="00761C3A" w:rsidRPr="004B2360" w:rsidRDefault="001659DF" w:rsidP="004B2360">
      <w:pPr>
        <w:pBdr>
          <w:top w:val="nil"/>
          <w:left w:val="nil"/>
          <w:bottom w:val="nil"/>
          <w:right w:val="nil"/>
          <w:between w:val="nil"/>
        </w:pBdr>
        <w:spacing w:after="0" w:line="480" w:lineRule="auto"/>
        <w:ind w:firstLine="425"/>
        <w:jc w:val="both"/>
        <w:rPr>
          <w:rFonts w:ascii="Arial" w:eastAsia="Arial" w:hAnsi="Arial" w:cs="Arial"/>
          <w:color w:val="000000"/>
          <w:sz w:val="20"/>
          <w:szCs w:val="20"/>
          <w:lang w:val="de-LU"/>
        </w:rPr>
      </w:pPr>
      <w:r>
        <w:rPr>
          <w:rFonts w:ascii="Arial" w:eastAsia="Arial" w:hAnsi="Arial" w:cs="Arial"/>
          <w:color w:val="000000"/>
          <w:sz w:val="20"/>
          <w:szCs w:val="20"/>
          <w:lang w:val="de-LU"/>
        </w:rPr>
        <w:br w:type="page"/>
      </w:r>
    </w:p>
    <w:p w:rsidR="004B2360" w:rsidRPr="004B2360" w:rsidRDefault="004B2360" w:rsidP="004B2360">
      <w:pPr>
        <w:pStyle w:val="ListParagraph"/>
        <w:numPr>
          <w:ilvl w:val="0"/>
          <w:numId w:val="11"/>
        </w:numPr>
        <w:pBdr>
          <w:top w:val="nil"/>
          <w:left w:val="nil"/>
          <w:bottom w:val="nil"/>
          <w:right w:val="nil"/>
          <w:between w:val="nil"/>
        </w:pBdr>
        <w:spacing w:after="0" w:line="480" w:lineRule="auto"/>
        <w:rPr>
          <w:rFonts w:ascii="Arial" w:eastAsia="Arial" w:hAnsi="Arial" w:cs="Arial"/>
          <w:b/>
          <w:color w:val="000000"/>
          <w:sz w:val="20"/>
          <w:szCs w:val="20"/>
          <w:lang w:val="en-ID"/>
        </w:rPr>
      </w:pPr>
      <w:r w:rsidRPr="004B2360">
        <w:rPr>
          <w:rFonts w:ascii="Arial" w:eastAsia="Arial" w:hAnsi="Arial" w:cs="Arial"/>
          <w:b/>
          <w:color w:val="000000"/>
          <w:sz w:val="20"/>
          <w:szCs w:val="20"/>
          <w:lang w:val="en-ID"/>
        </w:rPr>
        <w:lastRenderedPageBreak/>
        <w:t>Result</w:t>
      </w:r>
    </w:p>
    <w:p w:rsidR="00761C3A" w:rsidRDefault="004723C6" w:rsidP="0044342A">
      <w:pPr>
        <w:pBdr>
          <w:top w:val="nil"/>
          <w:left w:val="nil"/>
          <w:bottom w:val="nil"/>
          <w:right w:val="nil"/>
          <w:between w:val="nil"/>
        </w:pBdr>
        <w:spacing w:after="0" w:line="480" w:lineRule="auto"/>
        <w:jc w:val="center"/>
        <w:rPr>
          <w:rFonts w:ascii="Arial" w:eastAsia="Arial" w:hAnsi="Arial" w:cs="Arial"/>
          <w:bCs/>
          <w:color w:val="000000"/>
          <w:sz w:val="20"/>
          <w:szCs w:val="20"/>
          <w:lang w:val="en-ID"/>
        </w:rPr>
      </w:pPr>
      <w:r>
        <w:rPr>
          <w:rFonts w:ascii="Arial" w:eastAsia="Arial" w:hAnsi="Arial" w:cs="Arial"/>
          <w:bCs/>
          <w:color w:val="000000"/>
          <w:sz w:val="20"/>
          <w:szCs w:val="20"/>
          <w:lang w:val="en-ID"/>
        </w:rPr>
        <w:t>Table</w:t>
      </w:r>
      <w:r w:rsidR="00E85B7D">
        <w:rPr>
          <w:rFonts w:ascii="Arial" w:eastAsia="Arial" w:hAnsi="Arial" w:cs="Arial"/>
          <w:bCs/>
          <w:color w:val="000000"/>
          <w:sz w:val="20"/>
          <w:szCs w:val="20"/>
          <w:lang w:val="en-ID"/>
        </w:rPr>
        <w:t xml:space="preserve"> 1.</w:t>
      </w:r>
    </w:p>
    <w:p w:rsidR="00761C3A" w:rsidRDefault="004723C6" w:rsidP="0044342A">
      <w:pPr>
        <w:pBdr>
          <w:top w:val="nil"/>
          <w:left w:val="nil"/>
          <w:bottom w:val="nil"/>
          <w:right w:val="nil"/>
          <w:between w:val="nil"/>
        </w:pBdr>
        <w:spacing w:line="480" w:lineRule="auto"/>
        <w:jc w:val="center"/>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Modernization Challenges and Adaptation Strategies in Muslim Societies: A Literature Review</w:t>
      </w:r>
    </w:p>
    <w:tbl>
      <w:tblPr>
        <w:tblStyle w:val="TableGrid"/>
        <w:tblpPr w:leftFromText="180" w:rightFromText="180" w:vertAnchor="text" w:tblpXSpec="center" w:tblpY="1"/>
        <w:tblOverlap w:val="never"/>
        <w:tblW w:w="9016" w:type="dxa"/>
        <w:tblLook w:val="04A0" w:firstRow="1" w:lastRow="0" w:firstColumn="1" w:lastColumn="0" w:noHBand="0" w:noVBand="1"/>
      </w:tblPr>
      <w:tblGrid>
        <w:gridCol w:w="2217"/>
        <w:gridCol w:w="2542"/>
        <w:gridCol w:w="2373"/>
        <w:gridCol w:w="1884"/>
      </w:tblGrid>
      <w:tr w:rsidR="004723C6" w:rsidTr="00CE719A">
        <w:tc>
          <w:tcPr>
            <w:tcW w:w="2254" w:type="dxa"/>
            <w:vAlign w:val="center"/>
          </w:tcPr>
          <w:p w:rsidR="00BC1DC9" w:rsidRPr="004723C6" w:rsidRDefault="00BC1DC9" w:rsidP="00CE719A">
            <w:pPr>
              <w:jc w:val="center"/>
              <w:rPr>
                <w:rFonts w:ascii="Arial" w:eastAsia="Arial" w:hAnsi="Arial" w:cs="Arial"/>
                <w:b/>
                <w:bCs/>
                <w:color w:val="000000"/>
                <w:sz w:val="20"/>
                <w:szCs w:val="20"/>
                <w:lang w:val="de-LU"/>
              </w:rPr>
            </w:pPr>
            <w:r w:rsidRPr="004723C6">
              <w:rPr>
                <w:rFonts w:ascii="Arial" w:eastAsia="Arial" w:hAnsi="Arial" w:cs="Arial"/>
                <w:b/>
                <w:bCs/>
                <w:color w:val="000000"/>
                <w:sz w:val="20"/>
                <w:szCs w:val="20"/>
                <w:lang w:val="en-ID"/>
              </w:rPr>
              <w:t>Aspect</w:t>
            </w:r>
          </w:p>
        </w:tc>
        <w:tc>
          <w:tcPr>
            <w:tcW w:w="2566" w:type="dxa"/>
            <w:vAlign w:val="center"/>
          </w:tcPr>
          <w:p w:rsidR="00BC1DC9" w:rsidRPr="004723C6" w:rsidRDefault="00BC1DC9" w:rsidP="00CE719A">
            <w:pPr>
              <w:jc w:val="center"/>
              <w:rPr>
                <w:rFonts w:ascii="Arial" w:hAnsi="Arial" w:cs="Arial"/>
                <w:b/>
                <w:sz w:val="20"/>
                <w:szCs w:val="20"/>
              </w:rPr>
            </w:pPr>
            <w:r w:rsidRPr="004723C6">
              <w:rPr>
                <w:rFonts w:ascii="Arial" w:hAnsi="Arial" w:cs="Arial"/>
                <w:b/>
                <w:sz w:val="20"/>
                <w:szCs w:val="20"/>
              </w:rPr>
              <w:t>Global Challenges</w:t>
            </w:r>
          </w:p>
        </w:tc>
        <w:tc>
          <w:tcPr>
            <w:tcW w:w="2410" w:type="dxa"/>
            <w:vAlign w:val="center"/>
          </w:tcPr>
          <w:p w:rsidR="00BC1DC9" w:rsidRPr="004723C6" w:rsidRDefault="00BC1DC9" w:rsidP="00CE719A">
            <w:pPr>
              <w:jc w:val="center"/>
              <w:rPr>
                <w:rFonts w:ascii="Arial" w:hAnsi="Arial" w:cs="Arial"/>
                <w:b/>
                <w:sz w:val="20"/>
                <w:szCs w:val="20"/>
              </w:rPr>
            </w:pPr>
            <w:r w:rsidRPr="004723C6">
              <w:rPr>
                <w:rFonts w:ascii="Arial" w:hAnsi="Arial" w:cs="Arial"/>
                <w:b/>
                <w:sz w:val="20"/>
                <w:szCs w:val="20"/>
              </w:rPr>
              <w:t>Strategic Measures</w:t>
            </w:r>
          </w:p>
        </w:tc>
        <w:tc>
          <w:tcPr>
            <w:tcW w:w="1786" w:type="dxa"/>
            <w:vAlign w:val="center"/>
          </w:tcPr>
          <w:p w:rsidR="00BC1DC9" w:rsidRPr="004723C6" w:rsidRDefault="00BC1DC9" w:rsidP="00CE719A">
            <w:pPr>
              <w:jc w:val="center"/>
              <w:rPr>
                <w:rFonts w:ascii="Arial" w:hAnsi="Arial" w:cs="Arial"/>
                <w:b/>
                <w:sz w:val="20"/>
                <w:szCs w:val="20"/>
              </w:rPr>
            </w:pPr>
            <w:r w:rsidRPr="004723C6">
              <w:rPr>
                <w:rFonts w:ascii="Arial" w:hAnsi="Arial" w:cs="Arial"/>
                <w:b/>
                <w:sz w:val="20"/>
                <w:szCs w:val="20"/>
              </w:rPr>
              <w:t>Theoretical Basis/References</w:t>
            </w:r>
          </w:p>
        </w:tc>
      </w:tr>
      <w:tr w:rsidR="004723C6" w:rsidTr="00CE719A">
        <w:tc>
          <w:tcPr>
            <w:tcW w:w="2254" w:type="dxa"/>
            <w:vAlign w:val="center"/>
          </w:tcPr>
          <w:p w:rsidR="00761C3A" w:rsidRDefault="00E85B7D" w:rsidP="00CE719A">
            <w:pPr>
              <w:jc w:val="both"/>
              <w:rPr>
                <w:rFonts w:ascii="Arial" w:eastAsia="Arial" w:hAnsi="Arial" w:cs="Arial"/>
                <w:bCs/>
                <w:color w:val="000000"/>
                <w:sz w:val="20"/>
                <w:szCs w:val="20"/>
                <w:lang w:val="de-LU"/>
              </w:rPr>
            </w:pPr>
            <w:r>
              <w:rPr>
                <w:rFonts w:ascii="Arial" w:eastAsia="Arial" w:hAnsi="Arial" w:cs="Arial"/>
                <w:b/>
                <w:bCs/>
                <w:color w:val="000000"/>
                <w:sz w:val="20"/>
                <w:szCs w:val="20"/>
                <w:lang w:val="en-ID"/>
              </w:rPr>
              <w:t>Identitas Keagamaan</w:t>
            </w:r>
          </w:p>
        </w:tc>
        <w:tc>
          <w:tcPr>
            <w:tcW w:w="2566" w:type="dxa"/>
          </w:tcPr>
          <w:p w:rsidR="00BC1DC9" w:rsidRPr="00BC1DC9" w:rsidRDefault="00BC1DC9" w:rsidP="00CE719A">
            <w:pPr>
              <w:pStyle w:val="ListParagraph"/>
              <w:numPr>
                <w:ilvl w:val="0"/>
                <w:numId w:val="9"/>
              </w:numPr>
              <w:ind w:left="183" w:hanging="218"/>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Erosion of Islamic values among the younger generation</w:t>
            </w:r>
          </w:p>
          <w:p w:rsidR="00BC1DC9" w:rsidRPr="00BC1DC9" w:rsidRDefault="00BC1DC9" w:rsidP="00CE719A">
            <w:pPr>
              <w:pStyle w:val="ListParagraph"/>
              <w:numPr>
                <w:ilvl w:val="0"/>
                <w:numId w:val="9"/>
              </w:numPr>
              <w:ind w:left="183" w:hanging="218"/>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Contestations of identity in the digital space</w:t>
            </w:r>
          </w:p>
        </w:tc>
        <w:tc>
          <w:tcPr>
            <w:tcW w:w="2410" w:type="dxa"/>
          </w:tcPr>
          <w:p w:rsidR="00BC1DC9" w:rsidRDefault="00BC1DC9" w:rsidP="00CE719A">
            <w:pPr>
              <w:pStyle w:val="ListParagraph"/>
              <w:numPr>
                <w:ilvl w:val="0"/>
                <w:numId w:val="9"/>
              </w:numPr>
              <w:ind w:left="201" w:hanging="201"/>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Media literacy based on Islamic values</w:t>
            </w:r>
          </w:p>
          <w:p w:rsidR="00BC1DC9" w:rsidRPr="00BC1DC9" w:rsidRDefault="00BC1DC9" w:rsidP="00CE719A">
            <w:pPr>
              <w:pStyle w:val="ListParagraph"/>
              <w:numPr>
                <w:ilvl w:val="0"/>
                <w:numId w:val="9"/>
              </w:numPr>
              <w:ind w:left="201" w:hanging="201"/>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Integration of modern knowledge with Islamic values</w:t>
            </w:r>
          </w:p>
        </w:tc>
        <w:tc>
          <w:tcPr>
            <w:tcW w:w="1786" w:type="dxa"/>
          </w:tcPr>
          <w:p w:rsidR="00761C3A" w:rsidRDefault="00E85B7D" w:rsidP="00CE719A">
            <w:pPr>
              <w:jc w:val="both"/>
              <w:rPr>
                <w:rFonts w:ascii="Arial" w:eastAsia="Arial" w:hAnsi="Arial" w:cs="Arial"/>
                <w:bCs/>
                <w:color w:val="000000"/>
                <w:sz w:val="20"/>
                <w:szCs w:val="20"/>
                <w:lang w:val="de-LU"/>
              </w:rPr>
            </w:pPr>
            <w:proofErr w:type="spellStart"/>
            <w:r>
              <w:rPr>
                <w:rFonts w:ascii="Arial" w:eastAsia="Arial" w:hAnsi="Arial" w:cs="Arial"/>
                <w:bCs/>
                <w:color w:val="000000"/>
                <w:sz w:val="20"/>
                <w:szCs w:val="20"/>
                <w:lang w:val="en-ID"/>
              </w:rPr>
              <w:t>Nurlaela</w:t>
            </w:r>
            <w:proofErr w:type="spellEnd"/>
            <w:r>
              <w:rPr>
                <w:rFonts w:ascii="Arial" w:eastAsia="Arial" w:hAnsi="Arial" w:cs="Arial"/>
                <w:bCs/>
                <w:color w:val="000000"/>
                <w:sz w:val="20"/>
                <w:szCs w:val="20"/>
                <w:lang w:val="en-ID"/>
              </w:rPr>
              <w:t xml:space="preserve"> (2024), Johan et al. (2024)</w:t>
            </w:r>
          </w:p>
        </w:tc>
      </w:tr>
      <w:tr w:rsidR="004723C6" w:rsidTr="00CE719A">
        <w:tc>
          <w:tcPr>
            <w:tcW w:w="2254" w:type="dxa"/>
            <w:vAlign w:val="center"/>
          </w:tcPr>
          <w:p w:rsidR="00BC1DC9" w:rsidRPr="004723C6" w:rsidRDefault="00BC1DC9" w:rsidP="00CE719A">
            <w:pPr>
              <w:rPr>
                <w:rFonts w:ascii="Arial" w:hAnsi="Arial" w:cs="Arial"/>
                <w:b/>
                <w:sz w:val="20"/>
                <w:szCs w:val="20"/>
              </w:rPr>
            </w:pPr>
            <w:r w:rsidRPr="004723C6">
              <w:rPr>
                <w:rFonts w:ascii="Arial" w:hAnsi="Arial" w:cs="Arial"/>
                <w:b/>
                <w:sz w:val="20"/>
                <w:szCs w:val="20"/>
              </w:rPr>
              <w:t>Islamic Education</w:t>
            </w:r>
          </w:p>
        </w:tc>
        <w:tc>
          <w:tcPr>
            <w:tcW w:w="2566" w:type="dxa"/>
          </w:tcPr>
          <w:p w:rsidR="00BC1DC9" w:rsidRDefault="00BC1DC9" w:rsidP="00CE719A">
            <w:pPr>
              <w:pStyle w:val="ListParagraph"/>
              <w:numPr>
                <w:ilvl w:val="0"/>
                <w:numId w:val="9"/>
              </w:numPr>
              <w:ind w:left="183" w:hanging="218"/>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Inflexible curriculum</w:t>
            </w:r>
          </w:p>
          <w:p w:rsidR="00BC1DC9" w:rsidRPr="00BC1DC9" w:rsidRDefault="00BC1DC9" w:rsidP="00CE719A">
            <w:pPr>
              <w:pStyle w:val="ListParagraph"/>
              <w:numPr>
                <w:ilvl w:val="0"/>
                <w:numId w:val="9"/>
              </w:numPr>
              <w:ind w:left="183" w:hanging="218"/>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Dominance of rote memorization over critical understanding</w:t>
            </w:r>
          </w:p>
        </w:tc>
        <w:tc>
          <w:tcPr>
            <w:tcW w:w="2410" w:type="dxa"/>
          </w:tcPr>
          <w:p w:rsidR="00BC1DC9" w:rsidRDefault="00BC1DC9" w:rsidP="00CE719A">
            <w:pPr>
              <w:pStyle w:val="ListParagraph"/>
              <w:numPr>
                <w:ilvl w:val="0"/>
                <w:numId w:val="10"/>
              </w:numPr>
              <w:ind w:left="201" w:hanging="201"/>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Integration of modern knowledge with Islamic values</w:t>
            </w:r>
          </w:p>
          <w:p w:rsidR="00BC1DC9" w:rsidRPr="00BC1DC9" w:rsidRDefault="00BC1DC9" w:rsidP="00CE719A">
            <w:pPr>
              <w:pStyle w:val="ListParagraph"/>
              <w:numPr>
                <w:ilvl w:val="0"/>
                <w:numId w:val="10"/>
              </w:numPr>
              <w:ind w:left="201" w:hanging="201"/>
              <w:jc w:val="both"/>
              <w:rPr>
                <w:rFonts w:ascii="Arial" w:eastAsia="Arial" w:hAnsi="Arial" w:cs="Arial"/>
                <w:bCs/>
                <w:color w:val="000000"/>
                <w:sz w:val="20"/>
                <w:szCs w:val="20"/>
                <w:lang w:val="de-LU"/>
              </w:rPr>
            </w:pPr>
            <w:r w:rsidRPr="00BC1DC9">
              <w:rPr>
                <w:rFonts w:ascii="Arial" w:eastAsia="Arial" w:hAnsi="Arial" w:cs="Arial"/>
                <w:bCs/>
                <w:color w:val="000000"/>
                <w:sz w:val="20"/>
                <w:szCs w:val="20"/>
                <w:lang w:val="de-LU"/>
              </w:rPr>
              <w:t>Utilization of digital technology in learning</w:t>
            </w:r>
          </w:p>
        </w:tc>
        <w:tc>
          <w:tcPr>
            <w:tcW w:w="1786" w:type="dxa"/>
          </w:tcPr>
          <w:p w:rsidR="00BC1DC9" w:rsidRDefault="00BC1DC9" w:rsidP="00CE719A">
            <w:pPr>
              <w:jc w:val="both"/>
              <w:rPr>
                <w:rFonts w:ascii="Arial" w:eastAsia="Arial" w:hAnsi="Arial" w:cs="Arial"/>
                <w:bCs/>
                <w:color w:val="000000"/>
                <w:sz w:val="20"/>
                <w:szCs w:val="20"/>
                <w:lang w:val="de-LU"/>
              </w:rPr>
            </w:pPr>
            <w:r>
              <w:rPr>
                <w:rFonts w:ascii="Arial" w:eastAsia="Arial" w:hAnsi="Arial" w:cs="Arial"/>
                <w:bCs/>
                <w:color w:val="000000"/>
                <w:sz w:val="20"/>
                <w:szCs w:val="20"/>
                <w:lang w:val="en-ID"/>
              </w:rPr>
              <w:t>Subhan (2012), Johan et al. (2024)</w:t>
            </w:r>
          </w:p>
        </w:tc>
      </w:tr>
      <w:tr w:rsidR="004723C6" w:rsidTr="00CE719A">
        <w:tc>
          <w:tcPr>
            <w:tcW w:w="2254" w:type="dxa"/>
            <w:vAlign w:val="center"/>
          </w:tcPr>
          <w:p w:rsidR="00BC1DC9" w:rsidRPr="004723C6" w:rsidRDefault="00BC1DC9" w:rsidP="00CE719A">
            <w:pPr>
              <w:rPr>
                <w:rFonts w:ascii="Arial" w:hAnsi="Arial" w:cs="Arial"/>
                <w:b/>
                <w:sz w:val="20"/>
                <w:szCs w:val="20"/>
              </w:rPr>
            </w:pPr>
            <w:r w:rsidRPr="004723C6">
              <w:rPr>
                <w:rFonts w:ascii="Arial" w:hAnsi="Arial" w:cs="Arial"/>
                <w:b/>
                <w:sz w:val="20"/>
                <w:szCs w:val="20"/>
              </w:rPr>
              <w:t>Socio-Cultural</w:t>
            </w:r>
          </w:p>
        </w:tc>
        <w:tc>
          <w:tcPr>
            <w:tcW w:w="2566" w:type="dxa"/>
          </w:tcPr>
          <w:p w:rsidR="004723C6" w:rsidRDefault="004723C6" w:rsidP="00CE719A">
            <w:pPr>
              <w:pStyle w:val="ListParagraph"/>
              <w:numPr>
                <w:ilvl w:val="0"/>
                <w:numId w:val="9"/>
              </w:numPr>
              <w:ind w:left="183" w:hanging="218"/>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Individualism &amp; consumerism</w:t>
            </w:r>
          </w:p>
          <w:p w:rsidR="004723C6" w:rsidRPr="004723C6" w:rsidRDefault="004723C6" w:rsidP="00CE719A">
            <w:pPr>
              <w:pStyle w:val="ListParagraph"/>
              <w:numPr>
                <w:ilvl w:val="0"/>
                <w:numId w:val="9"/>
              </w:numPr>
              <w:ind w:left="183" w:hanging="218"/>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Shift in family and community values</w:t>
            </w:r>
          </w:p>
        </w:tc>
        <w:tc>
          <w:tcPr>
            <w:tcW w:w="2410" w:type="dxa"/>
          </w:tcPr>
          <w:p w:rsidR="004723C6" w:rsidRDefault="004723C6" w:rsidP="00CE719A">
            <w:pPr>
              <w:pStyle w:val="ListParagraph"/>
              <w:numPr>
                <w:ilvl w:val="0"/>
                <w:numId w:val="10"/>
              </w:numPr>
              <w:ind w:left="201" w:hanging="201"/>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Revitalization of gotong royong tradition</w:t>
            </w:r>
          </w:p>
          <w:p w:rsidR="004723C6" w:rsidRPr="004723C6" w:rsidRDefault="004723C6" w:rsidP="00CE719A">
            <w:pPr>
              <w:pStyle w:val="ListParagraph"/>
              <w:numPr>
                <w:ilvl w:val="0"/>
                <w:numId w:val="10"/>
              </w:numPr>
              <w:ind w:left="201" w:hanging="201"/>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Cultural da'wah through art/popular media</w:t>
            </w:r>
          </w:p>
        </w:tc>
        <w:tc>
          <w:tcPr>
            <w:tcW w:w="1786" w:type="dxa"/>
          </w:tcPr>
          <w:p w:rsidR="00BC1DC9" w:rsidRDefault="00BC1DC9" w:rsidP="00CE719A">
            <w:pPr>
              <w:jc w:val="both"/>
              <w:rPr>
                <w:rFonts w:ascii="Arial" w:eastAsia="Arial" w:hAnsi="Arial" w:cs="Arial"/>
                <w:bCs/>
                <w:color w:val="000000"/>
                <w:sz w:val="20"/>
                <w:szCs w:val="20"/>
                <w:lang w:val="de-LU"/>
              </w:rPr>
            </w:pPr>
            <w:proofErr w:type="spellStart"/>
            <w:r>
              <w:rPr>
                <w:rFonts w:ascii="Arial" w:eastAsia="Arial" w:hAnsi="Arial" w:cs="Arial"/>
                <w:bCs/>
                <w:color w:val="000000"/>
                <w:sz w:val="20"/>
                <w:szCs w:val="20"/>
                <w:lang w:val="en-ID"/>
              </w:rPr>
              <w:t>Hidayati</w:t>
            </w:r>
            <w:proofErr w:type="spellEnd"/>
            <w:r>
              <w:rPr>
                <w:rFonts w:ascii="Arial" w:eastAsia="Arial" w:hAnsi="Arial" w:cs="Arial"/>
                <w:bCs/>
                <w:color w:val="000000"/>
                <w:sz w:val="20"/>
                <w:szCs w:val="20"/>
                <w:lang w:val="en-ID"/>
              </w:rPr>
              <w:t xml:space="preserve"> (2024), </w:t>
            </w:r>
            <w:proofErr w:type="spellStart"/>
            <w:r>
              <w:rPr>
                <w:rFonts w:ascii="Arial" w:eastAsia="Arial" w:hAnsi="Arial" w:cs="Arial"/>
                <w:bCs/>
                <w:color w:val="000000"/>
                <w:sz w:val="20"/>
                <w:szCs w:val="20"/>
                <w:lang w:val="en-ID"/>
              </w:rPr>
              <w:t>Matondang</w:t>
            </w:r>
            <w:proofErr w:type="spellEnd"/>
            <w:r>
              <w:rPr>
                <w:rFonts w:ascii="Arial" w:eastAsia="Arial" w:hAnsi="Arial" w:cs="Arial"/>
                <w:bCs/>
                <w:color w:val="000000"/>
                <w:sz w:val="20"/>
                <w:szCs w:val="20"/>
                <w:lang w:val="en-ID"/>
              </w:rPr>
              <w:t xml:space="preserve"> (2019)</w:t>
            </w:r>
          </w:p>
        </w:tc>
      </w:tr>
      <w:tr w:rsidR="004723C6" w:rsidTr="00CE719A">
        <w:tc>
          <w:tcPr>
            <w:tcW w:w="2254" w:type="dxa"/>
            <w:vAlign w:val="center"/>
          </w:tcPr>
          <w:p w:rsidR="00BC1DC9" w:rsidRPr="004723C6" w:rsidRDefault="00BC1DC9" w:rsidP="00CE719A">
            <w:pPr>
              <w:rPr>
                <w:rFonts w:ascii="Arial" w:hAnsi="Arial" w:cs="Arial"/>
                <w:b/>
                <w:sz w:val="20"/>
                <w:szCs w:val="20"/>
              </w:rPr>
            </w:pPr>
            <w:r w:rsidRPr="004723C6">
              <w:rPr>
                <w:rFonts w:ascii="Arial" w:hAnsi="Arial" w:cs="Arial"/>
                <w:b/>
                <w:sz w:val="20"/>
                <w:szCs w:val="20"/>
              </w:rPr>
              <w:t>Politics &amp; Globalization</w:t>
            </w:r>
          </w:p>
        </w:tc>
        <w:tc>
          <w:tcPr>
            <w:tcW w:w="2566" w:type="dxa"/>
          </w:tcPr>
          <w:p w:rsidR="004723C6" w:rsidRDefault="004723C6" w:rsidP="00CE719A">
            <w:pPr>
              <w:pStyle w:val="ListParagraph"/>
              <w:numPr>
                <w:ilvl w:val="0"/>
                <w:numId w:val="9"/>
              </w:numPr>
              <w:ind w:left="183" w:hanging="218"/>
              <w:jc w:val="both"/>
              <w:rPr>
                <w:rFonts w:ascii="Arial" w:eastAsia="Arial" w:hAnsi="Arial" w:cs="Arial"/>
                <w:bCs/>
                <w:color w:val="000000"/>
                <w:sz w:val="20"/>
                <w:szCs w:val="20"/>
                <w:lang w:val="en-ID"/>
              </w:rPr>
            </w:pPr>
            <w:r w:rsidRPr="004723C6">
              <w:rPr>
                <w:rFonts w:ascii="Arial" w:eastAsia="Arial" w:hAnsi="Arial" w:cs="Arial"/>
                <w:bCs/>
                <w:color w:val="000000"/>
                <w:sz w:val="20"/>
                <w:szCs w:val="20"/>
                <w:lang w:val="en-ID"/>
              </w:rPr>
              <w:t>Polarization of conservative-progressive groups</w:t>
            </w:r>
          </w:p>
          <w:p w:rsidR="004723C6" w:rsidRPr="004723C6" w:rsidRDefault="004723C6" w:rsidP="00CE719A">
            <w:pPr>
              <w:pStyle w:val="ListParagraph"/>
              <w:numPr>
                <w:ilvl w:val="0"/>
                <w:numId w:val="9"/>
              </w:numPr>
              <w:ind w:left="183" w:hanging="218"/>
              <w:jc w:val="both"/>
              <w:rPr>
                <w:rFonts w:ascii="Arial" w:eastAsia="Arial" w:hAnsi="Arial" w:cs="Arial"/>
                <w:bCs/>
                <w:color w:val="000000"/>
                <w:sz w:val="20"/>
                <w:szCs w:val="20"/>
                <w:lang w:val="en-ID"/>
              </w:rPr>
            </w:pPr>
            <w:r w:rsidRPr="004723C6">
              <w:rPr>
                <w:rFonts w:ascii="Arial" w:eastAsia="Arial" w:hAnsi="Arial" w:cs="Arial"/>
                <w:bCs/>
                <w:color w:val="000000"/>
                <w:sz w:val="20"/>
                <w:szCs w:val="20"/>
                <w:lang w:val="en-ID"/>
              </w:rPr>
              <w:t>Marginalization of moderate Muslim voices</w:t>
            </w:r>
          </w:p>
        </w:tc>
        <w:tc>
          <w:tcPr>
            <w:tcW w:w="2410" w:type="dxa"/>
          </w:tcPr>
          <w:p w:rsidR="004723C6" w:rsidRDefault="004723C6" w:rsidP="00CE719A">
            <w:pPr>
              <w:pStyle w:val="ListParagraph"/>
              <w:numPr>
                <w:ilvl w:val="0"/>
                <w:numId w:val="10"/>
              </w:numPr>
              <w:ind w:left="201" w:hanging="201"/>
              <w:jc w:val="both"/>
              <w:rPr>
                <w:rFonts w:ascii="Arial" w:eastAsia="Arial" w:hAnsi="Arial" w:cs="Arial"/>
                <w:bCs/>
                <w:color w:val="000000"/>
                <w:sz w:val="20"/>
                <w:szCs w:val="20"/>
                <w:lang w:val="en-ID"/>
              </w:rPr>
            </w:pPr>
            <w:r w:rsidRPr="004723C6">
              <w:rPr>
                <w:rFonts w:ascii="Arial" w:eastAsia="Arial" w:hAnsi="Arial" w:cs="Arial"/>
                <w:bCs/>
                <w:color w:val="000000"/>
                <w:sz w:val="20"/>
                <w:szCs w:val="20"/>
                <w:lang w:val="en-ID"/>
              </w:rPr>
              <w:t>Inter-school of thought dialogue</w:t>
            </w:r>
          </w:p>
          <w:p w:rsidR="004723C6" w:rsidRPr="004723C6" w:rsidRDefault="004723C6" w:rsidP="00CE719A">
            <w:pPr>
              <w:pStyle w:val="ListParagraph"/>
              <w:numPr>
                <w:ilvl w:val="0"/>
                <w:numId w:val="10"/>
              </w:numPr>
              <w:ind w:left="201" w:hanging="201"/>
              <w:jc w:val="both"/>
              <w:rPr>
                <w:rFonts w:ascii="Arial" w:eastAsia="Arial" w:hAnsi="Arial" w:cs="Arial"/>
                <w:bCs/>
                <w:color w:val="000000"/>
                <w:sz w:val="20"/>
                <w:szCs w:val="20"/>
                <w:lang w:val="en-ID"/>
              </w:rPr>
            </w:pPr>
            <w:r w:rsidRPr="004723C6">
              <w:rPr>
                <w:rFonts w:ascii="Arial" w:eastAsia="Arial" w:hAnsi="Arial" w:cs="Arial"/>
                <w:bCs/>
                <w:color w:val="000000"/>
                <w:sz w:val="20"/>
                <w:szCs w:val="20"/>
                <w:lang w:val="en-ID"/>
              </w:rPr>
              <w:t xml:space="preserve">Advocacy for inclusive policies based on </w:t>
            </w:r>
            <w:proofErr w:type="spellStart"/>
            <w:r w:rsidRPr="004723C6">
              <w:rPr>
                <w:rFonts w:ascii="Arial" w:eastAsia="Arial" w:hAnsi="Arial" w:cs="Arial"/>
                <w:bCs/>
                <w:color w:val="000000"/>
                <w:sz w:val="20"/>
                <w:szCs w:val="20"/>
                <w:lang w:val="en-ID"/>
              </w:rPr>
              <w:t>maqāṣid</w:t>
            </w:r>
            <w:proofErr w:type="spellEnd"/>
            <w:r w:rsidRPr="004723C6">
              <w:rPr>
                <w:rFonts w:ascii="Arial" w:eastAsia="Arial" w:hAnsi="Arial" w:cs="Arial"/>
                <w:bCs/>
                <w:color w:val="000000"/>
                <w:sz w:val="20"/>
                <w:szCs w:val="20"/>
                <w:lang w:val="en-ID"/>
              </w:rPr>
              <w:t xml:space="preserve"> al-</w:t>
            </w:r>
            <w:proofErr w:type="spellStart"/>
            <w:r w:rsidRPr="004723C6">
              <w:rPr>
                <w:rFonts w:ascii="Arial" w:eastAsia="Arial" w:hAnsi="Arial" w:cs="Arial"/>
                <w:bCs/>
                <w:color w:val="000000"/>
                <w:sz w:val="20"/>
                <w:szCs w:val="20"/>
                <w:lang w:val="en-ID"/>
              </w:rPr>
              <w:t>syarī'ah</w:t>
            </w:r>
            <w:proofErr w:type="spellEnd"/>
          </w:p>
        </w:tc>
        <w:tc>
          <w:tcPr>
            <w:tcW w:w="1786" w:type="dxa"/>
          </w:tcPr>
          <w:p w:rsidR="00BC1DC9" w:rsidRDefault="00BC1DC9" w:rsidP="00CE719A">
            <w:pPr>
              <w:jc w:val="both"/>
              <w:rPr>
                <w:rFonts w:ascii="Arial" w:eastAsia="Arial" w:hAnsi="Arial" w:cs="Arial"/>
                <w:bCs/>
                <w:color w:val="000000"/>
                <w:sz w:val="20"/>
                <w:szCs w:val="20"/>
                <w:lang w:val="de-LU"/>
              </w:rPr>
            </w:pPr>
            <w:r>
              <w:rPr>
                <w:rFonts w:ascii="Arial" w:eastAsia="Arial" w:hAnsi="Arial" w:cs="Arial"/>
                <w:bCs/>
                <w:color w:val="000000"/>
                <w:sz w:val="20"/>
                <w:szCs w:val="20"/>
                <w:lang w:val="en-ID"/>
              </w:rPr>
              <w:t xml:space="preserve">Kurniawan (2024), </w:t>
            </w:r>
            <w:proofErr w:type="spellStart"/>
            <w:r>
              <w:rPr>
                <w:rFonts w:ascii="Arial" w:eastAsia="Arial" w:hAnsi="Arial" w:cs="Arial"/>
                <w:bCs/>
                <w:color w:val="000000"/>
                <w:sz w:val="20"/>
                <w:szCs w:val="20"/>
                <w:lang w:val="en-ID"/>
              </w:rPr>
              <w:t>Makhrus</w:t>
            </w:r>
            <w:proofErr w:type="spellEnd"/>
            <w:r>
              <w:rPr>
                <w:rFonts w:ascii="Arial" w:eastAsia="Arial" w:hAnsi="Arial" w:cs="Arial"/>
                <w:bCs/>
                <w:color w:val="000000"/>
                <w:sz w:val="20"/>
                <w:szCs w:val="20"/>
                <w:lang w:val="en-ID"/>
              </w:rPr>
              <w:t xml:space="preserve"> (2019)</w:t>
            </w:r>
          </w:p>
        </w:tc>
      </w:tr>
      <w:tr w:rsidR="004723C6" w:rsidTr="00CE719A">
        <w:tc>
          <w:tcPr>
            <w:tcW w:w="2254" w:type="dxa"/>
            <w:vAlign w:val="center"/>
          </w:tcPr>
          <w:p w:rsidR="00BC1DC9" w:rsidRPr="004723C6" w:rsidRDefault="00BC1DC9" w:rsidP="00CE719A">
            <w:pPr>
              <w:rPr>
                <w:rFonts w:ascii="Arial" w:hAnsi="Arial" w:cs="Arial"/>
                <w:b/>
                <w:sz w:val="20"/>
                <w:szCs w:val="20"/>
              </w:rPr>
            </w:pPr>
            <w:r w:rsidRPr="004723C6">
              <w:rPr>
                <w:rFonts w:ascii="Arial" w:hAnsi="Arial" w:cs="Arial"/>
                <w:b/>
                <w:sz w:val="20"/>
                <w:szCs w:val="20"/>
              </w:rPr>
              <w:t>Economy</w:t>
            </w:r>
          </w:p>
        </w:tc>
        <w:tc>
          <w:tcPr>
            <w:tcW w:w="2566" w:type="dxa"/>
          </w:tcPr>
          <w:p w:rsidR="004723C6" w:rsidRDefault="004723C6" w:rsidP="00CE719A">
            <w:pPr>
              <w:pStyle w:val="ListParagraph"/>
              <w:numPr>
                <w:ilvl w:val="0"/>
                <w:numId w:val="9"/>
              </w:numPr>
              <w:ind w:left="183" w:hanging="218"/>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Social inequality (Gini 0.38)</w:t>
            </w:r>
          </w:p>
          <w:p w:rsidR="004723C6" w:rsidRPr="004723C6" w:rsidRDefault="004723C6" w:rsidP="00CE719A">
            <w:pPr>
              <w:pStyle w:val="ListParagraph"/>
              <w:numPr>
                <w:ilvl w:val="0"/>
                <w:numId w:val="9"/>
              </w:numPr>
              <w:ind w:left="183" w:hanging="218"/>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Commercialization of religious values</w:t>
            </w:r>
          </w:p>
        </w:tc>
        <w:tc>
          <w:tcPr>
            <w:tcW w:w="2410" w:type="dxa"/>
          </w:tcPr>
          <w:p w:rsidR="004723C6" w:rsidRDefault="004723C6" w:rsidP="00CE719A">
            <w:pPr>
              <w:pStyle w:val="ListParagraph"/>
              <w:numPr>
                <w:ilvl w:val="0"/>
                <w:numId w:val="10"/>
              </w:numPr>
              <w:ind w:left="201" w:hanging="201"/>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Development of community-based sharia economics</w:t>
            </w:r>
          </w:p>
          <w:p w:rsidR="004723C6" w:rsidRPr="004723C6" w:rsidRDefault="004723C6" w:rsidP="00CE719A">
            <w:pPr>
              <w:pStyle w:val="ListParagraph"/>
              <w:numPr>
                <w:ilvl w:val="0"/>
                <w:numId w:val="10"/>
              </w:numPr>
              <w:ind w:left="201" w:hanging="201"/>
              <w:jc w:val="both"/>
              <w:rPr>
                <w:rFonts w:ascii="Arial" w:eastAsia="Arial" w:hAnsi="Arial" w:cs="Arial"/>
                <w:bCs/>
                <w:color w:val="000000"/>
                <w:sz w:val="20"/>
                <w:szCs w:val="20"/>
                <w:lang w:val="de-LU"/>
              </w:rPr>
            </w:pPr>
            <w:r w:rsidRPr="004723C6">
              <w:rPr>
                <w:rFonts w:ascii="Arial" w:eastAsia="Arial" w:hAnsi="Arial" w:cs="Arial"/>
                <w:bCs/>
                <w:color w:val="000000"/>
                <w:sz w:val="20"/>
                <w:szCs w:val="20"/>
                <w:lang w:val="de-LU"/>
              </w:rPr>
              <w:t>Financial literacy education based on Islamic ethics</w:t>
            </w:r>
          </w:p>
        </w:tc>
        <w:tc>
          <w:tcPr>
            <w:tcW w:w="1786" w:type="dxa"/>
          </w:tcPr>
          <w:p w:rsidR="00BC1DC9" w:rsidRDefault="00BC1DC9" w:rsidP="00CE719A">
            <w:pPr>
              <w:jc w:val="both"/>
              <w:rPr>
                <w:rFonts w:ascii="Arial" w:eastAsia="Arial" w:hAnsi="Arial" w:cs="Arial"/>
                <w:bCs/>
                <w:color w:val="000000"/>
                <w:sz w:val="20"/>
                <w:szCs w:val="20"/>
                <w:lang w:val="de-LU"/>
              </w:rPr>
            </w:pPr>
            <w:r>
              <w:rPr>
                <w:rFonts w:ascii="Arial" w:eastAsia="Arial" w:hAnsi="Arial" w:cs="Arial"/>
                <w:bCs/>
                <w:color w:val="000000"/>
                <w:sz w:val="20"/>
                <w:szCs w:val="20"/>
                <w:lang w:val="en-ID"/>
              </w:rPr>
              <w:t xml:space="preserve">BPS (2023), </w:t>
            </w:r>
            <w:proofErr w:type="spellStart"/>
            <w:r>
              <w:rPr>
                <w:rFonts w:ascii="Arial" w:eastAsia="Arial" w:hAnsi="Arial" w:cs="Arial"/>
                <w:bCs/>
                <w:color w:val="000000"/>
                <w:sz w:val="20"/>
                <w:szCs w:val="20"/>
                <w:lang w:val="en-ID"/>
              </w:rPr>
              <w:t>Rustandi</w:t>
            </w:r>
            <w:proofErr w:type="spellEnd"/>
            <w:r>
              <w:rPr>
                <w:rFonts w:ascii="Arial" w:eastAsia="Arial" w:hAnsi="Arial" w:cs="Arial"/>
                <w:bCs/>
                <w:color w:val="000000"/>
                <w:sz w:val="20"/>
                <w:szCs w:val="20"/>
                <w:lang w:val="en-ID"/>
              </w:rPr>
              <w:t xml:space="preserve"> (2020)</w:t>
            </w:r>
          </w:p>
        </w:tc>
      </w:tr>
    </w:tbl>
    <w:p w:rsidR="00761C3A" w:rsidRDefault="00761C3A" w:rsidP="0044342A">
      <w:pPr>
        <w:pBdr>
          <w:top w:val="nil"/>
          <w:left w:val="nil"/>
          <w:bottom w:val="nil"/>
          <w:right w:val="nil"/>
          <w:between w:val="nil"/>
        </w:pBdr>
        <w:spacing w:after="0" w:line="480" w:lineRule="auto"/>
        <w:jc w:val="both"/>
        <w:rPr>
          <w:rFonts w:ascii="Arial" w:eastAsia="Arial" w:hAnsi="Arial" w:cs="Arial"/>
          <w:bCs/>
          <w:color w:val="000000"/>
          <w:sz w:val="20"/>
          <w:szCs w:val="20"/>
          <w:lang w:val="de-LU"/>
        </w:rPr>
      </w:pP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t>One of the most tangible impacts of modernization is the influx of foreign cultures through globalization and advances in information technology, which directly influence the lifestyle of Muslim adolescents</w:t>
      </w:r>
      <w:r>
        <w:rPr>
          <w:rFonts w:ascii="Arial" w:eastAsia="Arial" w:hAnsi="Arial" w:cs="Arial"/>
          <w:bCs/>
          <w:color w:val="000000"/>
          <w:sz w:val="20"/>
          <w:szCs w:val="20"/>
          <w:lang w:val="en-ID"/>
        </w:rPr>
        <w:t xml:space="preserve"> </w:t>
      </w:r>
      <w:r w:rsidR="00E85B7D">
        <w:rPr>
          <w:rFonts w:ascii="Arial" w:eastAsia="Arial" w:hAnsi="Arial" w:cs="Arial"/>
          <w:bCs/>
          <w:color w:val="000000"/>
          <w:sz w:val="20"/>
          <w:szCs w:val="20"/>
          <w:vertAlign w:val="superscript"/>
          <w:lang w:val="en-ID"/>
        </w:rPr>
        <w:fldChar w:fldCharType="begin"/>
      </w:r>
      <w:r w:rsidR="00E85B7D">
        <w:rPr>
          <w:rFonts w:ascii="Arial" w:eastAsia="Arial" w:hAnsi="Arial" w:cs="Arial"/>
          <w:bCs/>
          <w:color w:val="000000"/>
          <w:sz w:val="20"/>
          <w:szCs w:val="20"/>
          <w:lang w:val="en-ID"/>
        </w:rPr>
        <w:instrText>ADDIN CSL_CITATION {"citationItems":[{"id":"ITEM-1","itemData":{"abstract":"… islam. Pengaruh ini menjadi suatu tantangan yang besar dalam dakwah islam dan pendidikan islam. … berkembangnya nilai-nilai individualisme dan konsumerisme. Pendidikan aqidah …","author":[{"dropping-particle":"","family":"Nurlaela","given":"Fani","non-dropping-particle":"","parse-names":false,"suffix":""}],"container-title":"Innovative: Journal Of Social Science Research","id":"ITEM-1","issued":{"date-parts":[["2024"]]},"page":"5027-5037","title":"Urgensi Pendidikan Aqidah Islam Dalam Menghadapi Tantangan Modernitas (Analisis Lapangan di SMK Muhammadiyah 4 Jakarta)","type":"article-journal","volume":"4"},"uris":["http://www.mendeley.com/documents/?uuid=de91b5d0-c15c-43a7-8a44-685b7431667b"]}],"mendeley":{"formattedCitation":"(Nurlaela, 2024)","plainTextFormattedCitation":"(Nurlaela, 2024)","previouslyFormattedCitation":"(Nurlaela, 2024)"},"properties":{"noteIndex":0},"schema":"https://github.com/citation-style-language/schema/raw/master/csl-citation.json"}</w:instrText>
      </w:r>
      <w:r w:rsidR="00E85B7D">
        <w:rPr>
          <w:rFonts w:ascii="Arial" w:eastAsia="Arial" w:hAnsi="Arial" w:cs="Arial"/>
          <w:bCs/>
          <w:color w:val="000000"/>
          <w:sz w:val="20"/>
          <w:szCs w:val="20"/>
          <w:vertAlign w:val="superscript"/>
          <w:lang w:val="en-ID"/>
        </w:rPr>
        <w:fldChar w:fldCharType="separate"/>
      </w:r>
      <w:r w:rsidR="00E85B7D">
        <w:rPr>
          <w:rFonts w:ascii="Arial" w:eastAsia="Arial" w:hAnsi="Arial" w:cs="Arial"/>
          <w:bCs/>
          <w:noProof/>
          <w:color w:val="000000"/>
          <w:sz w:val="20"/>
          <w:szCs w:val="20"/>
          <w:lang w:val="en-ID"/>
        </w:rPr>
        <w:t>(Nurlaela,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en-ID"/>
        </w:rPr>
        <w:t xml:space="preserve">. </w:t>
      </w:r>
      <w:r w:rsidRPr="00FE0B44">
        <w:rPr>
          <w:rFonts w:ascii="Arial" w:eastAsia="Arial" w:hAnsi="Arial" w:cs="Arial"/>
          <w:bCs/>
          <w:color w:val="000000"/>
          <w:sz w:val="20"/>
          <w:szCs w:val="20"/>
          <w:lang w:val="en-ID"/>
        </w:rPr>
        <w:t xml:space="preserve">Much of this cultural influence is incompatible with Islamic values, resulting in a shift in norms and </w:t>
      </w:r>
      <w:proofErr w:type="spellStart"/>
      <w:r w:rsidRPr="00FE0B44">
        <w:rPr>
          <w:rFonts w:ascii="Arial" w:eastAsia="Arial" w:hAnsi="Arial" w:cs="Arial"/>
          <w:bCs/>
          <w:color w:val="000000"/>
          <w:sz w:val="20"/>
          <w:szCs w:val="20"/>
          <w:lang w:val="en-ID"/>
        </w:rPr>
        <w:t>behaviors</w:t>
      </w:r>
      <w:proofErr w:type="spellEnd"/>
      <w:r w:rsidRPr="00FE0B44">
        <w:rPr>
          <w:rFonts w:ascii="Arial" w:eastAsia="Arial" w:hAnsi="Arial" w:cs="Arial"/>
          <w:bCs/>
          <w:color w:val="000000"/>
          <w:sz w:val="20"/>
          <w:szCs w:val="20"/>
          <w:lang w:val="en-ID"/>
        </w:rPr>
        <w:t xml:space="preserve">, particularly among students. Within the educational context, students constitute the group most vulnerable to negative influences due to their high exposure to digital content that is not filtered through religious values. Consequently, a crisis of religious identity emerges, blurring the boundaries between </w:t>
      </w:r>
      <w:proofErr w:type="spellStart"/>
      <w:r w:rsidRPr="00FE0B44">
        <w:rPr>
          <w:rFonts w:ascii="Arial" w:eastAsia="Arial" w:hAnsi="Arial" w:cs="Arial"/>
          <w:bCs/>
          <w:color w:val="000000"/>
          <w:sz w:val="20"/>
          <w:szCs w:val="20"/>
          <w:lang w:val="en-ID"/>
        </w:rPr>
        <w:t>behaviors</w:t>
      </w:r>
      <w:proofErr w:type="spellEnd"/>
      <w:r w:rsidRPr="00FE0B44">
        <w:rPr>
          <w:rFonts w:ascii="Arial" w:eastAsia="Arial" w:hAnsi="Arial" w:cs="Arial"/>
          <w:bCs/>
          <w:color w:val="000000"/>
          <w:sz w:val="20"/>
          <w:szCs w:val="20"/>
          <w:lang w:val="en-ID"/>
        </w:rPr>
        <w:t xml:space="preserve"> that align with and those that contradict Islamic principles. This phenomenon underscores the urgent need for concerted efforts to guide the younger generation in navigating the challenges of the digital era.</w:t>
      </w:r>
      <w:r>
        <w:rPr>
          <w:rFonts w:ascii="Arial" w:eastAsia="Arial" w:hAnsi="Arial" w:cs="Arial"/>
          <w:bCs/>
          <w:color w:val="000000"/>
          <w:sz w:val="20"/>
          <w:szCs w:val="20"/>
          <w:lang w:val="en-ID"/>
        </w:rPr>
        <w:t xml:space="preserve"> </w:t>
      </w: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lastRenderedPageBreak/>
        <w:t>The weakening of understanding and practice of Islamic faith (</w:t>
      </w:r>
      <w:proofErr w:type="spellStart"/>
      <w:r w:rsidRPr="00FE0B44">
        <w:rPr>
          <w:rFonts w:ascii="Arial" w:eastAsia="Arial" w:hAnsi="Arial" w:cs="Arial"/>
          <w:bCs/>
          <w:color w:val="000000"/>
          <w:sz w:val="20"/>
          <w:szCs w:val="20"/>
          <w:lang w:val="en-ID"/>
        </w:rPr>
        <w:t>aqidah</w:t>
      </w:r>
      <w:proofErr w:type="spellEnd"/>
      <w:r w:rsidRPr="00FE0B44">
        <w:rPr>
          <w:rFonts w:ascii="Arial" w:eastAsia="Arial" w:hAnsi="Arial" w:cs="Arial"/>
          <w:bCs/>
          <w:color w:val="000000"/>
          <w:sz w:val="20"/>
          <w:szCs w:val="20"/>
          <w:lang w:val="en-ID"/>
        </w:rPr>
        <w:t>) among young people serves as a key indicator of this identity crisis</w:t>
      </w:r>
      <w:r>
        <w:rPr>
          <w:rFonts w:ascii="Arial" w:eastAsia="Arial" w:hAnsi="Arial" w:cs="Arial"/>
          <w:bCs/>
          <w:color w:val="000000"/>
          <w:sz w:val="20"/>
          <w:szCs w:val="20"/>
          <w:lang w:val="en-ID"/>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en-ID"/>
        </w:rPr>
        <w:instrText>ADDIN CSL_CITATION {"citationItems":[{"id":"ITEM-1","itemData":{"abstract":"… islam. Pengaruh ini menjadi suatu tantangan yang besar dalam dakwah islam dan pendidikan islam. … berkembangnya nilai-nilai individualisme dan konsumerisme. Pendidikan aqidah …","author":[{"dropping-particle":"","family":"Nurlaela","given":"Fani","non-dropping-particle":"","parse-names":false,"suffix":""}],"container-title":"Innovative: Journal Of Social Science Research","id":"ITEM-1","issued":{"date-parts":[["2024"]]},"page":"5027-5037","title":"Urgensi Pendidikan Aqidah Islam Dalam Menghadapi Tantangan Modernitas (Analisis Lapangan di SMK Muhammadiyah 4 Jakarta)","type":"article-journal","volume":"4"},"uris":["http://www.mendeley.com/documents/?uuid=de91b5d0-c15c-43a7-8a44-685b7431667b"]}],"mendeley":{"formattedCitation":"(Nurlaela, 2024)","plainTextFormattedCitation":"(Nurlaela, 2024)","previouslyFormattedCitation":"(Nurlaela,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en-ID"/>
        </w:rPr>
        <w:t>(Nurlaela,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en-ID"/>
        </w:rPr>
        <w:t xml:space="preserve">. </w:t>
      </w:r>
      <w:r w:rsidRPr="00FE0B44">
        <w:rPr>
          <w:rFonts w:ascii="Arial" w:eastAsia="Arial" w:hAnsi="Arial" w:cs="Arial"/>
          <w:bCs/>
          <w:color w:val="000000"/>
          <w:sz w:val="20"/>
          <w:szCs w:val="20"/>
          <w:lang w:val="en-ID"/>
        </w:rPr>
        <w:t xml:space="preserve">The current generation is growing up in an open digital environment, granting them unrestricted access to vast amounts of information. However, without adequate religious literacy, they face significant challenges in discerning between authentic content and that which deviates from Islamic teachings. Social media, which has become an inseparable part of adolescent life, reinforces a culture of consumerism, instant gratification, and hedonism, gradually eroding sensitivity to spiritual values. Therefore, strengthening </w:t>
      </w:r>
      <w:proofErr w:type="spellStart"/>
      <w:r w:rsidRPr="00FE0B44">
        <w:rPr>
          <w:rFonts w:ascii="Arial" w:eastAsia="Arial" w:hAnsi="Arial" w:cs="Arial"/>
          <w:bCs/>
          <w:color w:val="000000"/>
          <w:sz w:val="20"/>
          <w:szCs w:val="20"/>
          <w:lang w:val="en-ID"/>
        </w:rPr>
        <w:t>aqidah</w:t>
      </w:r>
      <w:proofErr w:type="spellEnd"/>
      <w:r w:rsidRPr="00FE0B44">
        <w:rPr>
          <w:rFonts w:ascii="Arial" w:eastAsia="Arial" w:hAnsi="Arial" w:cs="Arial"/>
          <w:bCs/>
          <w:color w:val="000000"/>
          <w:sz w:val="20"/>
          <w:szCs w:val="20"/>
          <w:lang w:val="en-ID"/>
        </w:rPr>
        <w:t xml:space="preserve"> resilience is essential to prevent the younger generation from being easily swayed by misleading information.</w:t>
      </w:r>
      <w:r>
        <w:rPr>
          <w:rFonts w:ascii="Arial" w:eastAsia="Arial" w:hAnsi="Arial" w:cs="Arial"/>
          <w:bCs/>
          <w:color w:val="000000"/>
          <w:sz w:val="20"/>
          <w:szCs w:val="20"/>
          <w:lang w:val="en-ID"/>
        </w:rPr>
        <w:t xml:space="preserve"> </w:t>
      </w: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t>In this context, Islamic education faces significant challenges. A society that is increasingly secular and rapidly evolving requires educational institutions to innovate in various aspects, including curriculum development, teaching methods, and the utilization of digital technology</w:t>
      </w:r>
      <w:r>
        <w:rPr>
          <w:rFonts w:ascii="Arial" w:eastAsia="Arial" w:hAnsi="Arial" w:cs="Arial"/>
          <w:bCs/>
          <w:color w:val="000000"/>
          <w:sz w:val="20"/>
          <w:szCs w:val="20"/>
          <w:lang w:val="en-ID"/>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en-ID"/>
        </w:rPr>
        <w:instrText>ADDIN CSL_CITATION {"citationItems":[{"id":"ITEM-1","itemData":{"DOI":"10.47134/pjpi.v1i4.758","abstract":"Artikel ini mengkaji tantangan dan peluang yang dihadapi pendidikan Islam dalam konteks modern. Pendidikan Islam berada di persimpangan antara tradisi dan modernitas, mengharuskan adaptasi terhadap perkembangan teknologi dan globalisasi. Tantangan utama termasuk bagaimana mempertahankan nilai-nilai inti agama dalam lingkungan yang semakin sekuler dan serba cepat. Namun, dalam tantangan ini terbuka pula peluang untuk memanfaatkan teknologi sebagai alat untuk penyebaran dan pemahaman yang lebih luas terhadap Islam. Artikel ini juga mengeksplorasi upaya-upaya dalam meningkatkan kualitas pendidikan Islam yang inklusif dan relevan dalam masyarakat modern.","author":[{"dropping-particle":"","family":"Johan","given":"Budi","non-dropping-particle":"","parse-names":false,"suffix":""},{"dropping-particle":"","family":"Husnah","given":"Farah Miftahul","non-dropping-particle":"","parse-names":false,"suffix":""},{"dropping-particle":"","family":"Puteri","given":"Alfianti Darma","non-dropping-particle":"","parse-names":false,"suffix":""},{"dropping-particle":"","family":"Hartami","given":"Hartami","non-dropping-particle":"","parse-names":false,"suffix":""},{"dropping-particle":"","family":"Rahmah","given":"Ahda Alifia","non-dropping-particle":"","parse-names":false,"suffix":""},{"dropping-particle":"","family":"Adnin","given":"Anzili Rahma Jannati","non-dropping-particle":"","parse-names":false,"suffix":""}],"container-title":"Jurnal Pendidikan Islam","id":"ITEM-1","issue":"4","issued":{"date-parts":[["2024"]]},"page":"13","title":"Tantangan dan Peluang Pendidikan Islam dalam Konteks Modern","type":"article-journal","volume":"1"},"uris":["http://www.mendeley.com/documents/?uuid=5f0bbf1d-92bf-4255-ba8e-e9528613dc70"]}],"mendeley":{"formattedCitation":"(Johan et al., 2024)","plainTextFormattedCitation":"(Johan et al., 2024)","previouslyFormattedCitation":"(Johan et al.,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noProof/>
          <w:color w:val="000000"/>
          <w:sz w:val="20"/>
          <w:szCs w:val="20"/>
          <w:lang w:val="en-ID"/>
        </w:rPr>
        <w:t>(Johan et al.,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en-ID"/>
        </w:rPr>
        <w:t xml:space="preserve">. </w:t>
      </w:r>
      <w:r w:rsidRPr="00FE0B44">
        <w:rPr>
          <w:rFonts w:ascii="Arial" w:eastAsia="Arial" w:hAnsi="Arial" w:cs="Arial"/>
          <w:bCs/>
          <w:color w:val="000000"/>
          <w:sz w:val="20"/>
          <w:szCs w:val="20"/>
          <w:lang w:val="en-ID"/>
        </w:rPr>
        <w:t>Technological advancements and globalization not only transform learning processes and patterns of thinking but also widen the gap between traditional Islamic values and contemporary demands for efficiency, flexibility, and open-mindedness. In this situation, Islamic educational institutions occupy a critical position; on the one hand, they are expected to adapt to the times by innovating in curriculum, teaching approaches, and digital technology integration. On the other hand, they must preserve the core substance of Islamic teachings to prevent them from being diluted by deviant values. Failure to respond wisely and strategically to these challenges risks rendering Islamic education irrelevant in the eyes of the younger generation, who in fact represent the primary asset for carrying forward Islamic values in the future.</w:t>
      </w:r>
      <w:r>
        <w:rPr>
          <w:rFonts w:ascii="Arial" w:eastAsia="Arial" w:hAnsi="Arial" w:cs="Arial"/>
          <w:bCs/>
          <w:color w:val="000000"/>
          <w:sz w:val="20"/>
          <w:szCs w:val="20"/>
          <w:lang w:val="en-ID"/>
        </w:rPr>
        <w:t xml:space="preserve"> </w:t>
      </w: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t>Integrating Islamic principles into curricula that are relevant to the needs of the 21st century is a crucial step in addressing these challenges</w:t>
      </w:r>
      <w:r>
        <w:rPr>
          <w:rFonts w:ascii="Arial" w:eastAsia="Arial" w:hAnsi="Arial" w:cs="Arial"/>
          <w:bCs/>
          <w:color w:val="000000"/>
          <w:sz w:val="20"/>
          <w:szCs w:val="20"/>
          <w:lang w:val="en-ID"/>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en-ID"/>
        </w:rPr>
        <w:instrText>ADDIN CSL_CITATION {"citationItems":[{"id":"ITEM-1","itemData":{"DOI":"10.47134/pjpi.v1i4.758","abstract":"Artikel ini mengkaji tantangan dan peluang yang dihadapi pendidikan Islam dalam konteks modern. Pendidikan Islam berada di persimpangan antara tradisi dan modernitas, mengharuskan adaptasi terhadap perkembangan teknologi dan globalisasi. Tantangan utama termasuk bagaimana mempertahankan nilai-nilai inti agama dalam lingkungan yang semakin sekuler dan serba cepat. Namun, dalam tantangan ini terbuka pula peluang untuk memanfaatkan teknologi sebagai alat untuk penyebaran dan pemahaman yang lebih luas terhadap Islam. Artikel ini juga mengeksplorasi upaya-upaya dalam meningkatkan kualitas pendidikan Islam yang inklusif dan relevan dalam masyarakat modern.","author":[{"dropping-particle":"","family":"Johan","given":"Budi","non-dropping-particle":"","parse-names":false,"suffix":""},{"dropping-particle":"","family":"Husnah","given":"Farah Miftahul","non-dropping-particle":"","parse-names":false,"suffix":""},{"dropping-particle":"","family":"Puteri","given":"Alfianti Darma","non-dropping-particle":"","parse-names":false,"suffix":""},{"dropping-particle":"","family":"Hartami","given":"Hartami","non-dropping-particle":"","parse-names":false,"suffix":""},{"dropping-particle":"","family":"Rahmah","given":"Ahda Alifia","non-dropping-particle":"","parse-names":false,"suffix":""},{"dropping-particle":"","family":"Adnin","given":"Anzili Rahma Jannati","non-dropping-particle":"","parse-names":false,"suffix":""}],"container-title":"Jurnal Pendidikan Islam","id":"ITEM-1","issue":"4","issued":{"date-parts":[["2024"]]},"page":"13","title":"Tantangan dan Peluang Pendidikan Islam dalam Konteks Modern","type":"article-journal","volume":"1"},"uris":["http://www.mendeley.com/documents/?uuid=5f0bbf1d-92bf-4255-ba8e-e9528613dc70"]}],"mendeley":{"formattedCitation":"(Johan et al., 2024)","plainTextFormattedCitation":"(Johan et al., 2024)","previouslyFormattedCitation":"(Johan et al.,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en-ID"/>
        </w:rPr>
        <w:t>(Johan et al.,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en-ID"/>
        </w:rPr>
        <w:t xml:space="preserve">. </w:t>
      </w:r>
      <w:r w:rsidRPr="00FE0B44">
        <w:rPr>
          <w:rFonts w:ascii="Arial" w:eastAsia="Arial" w:hAnsi="Arial" w:cs="Arial"/>
          <w:bCs/>
          <w:color w:val="000000"/>
          <w:sz w:val="20"/>
          <w:szCs w:val="20"/>
          <w:lang w:val="en-ID"/>
        </w:rPr>
        <w:t xml:space="preserve">In many cases, education remains overly focused on cognitive aspects, memorization, and academic achievement, while affective and spiritual dimensions, such as character development and moral reinforcement, are frequently neglected. In reality, Islamic education aims not only to produce intellectually capable individuals but also to cultivate noble character and </w:t>
      </w:r>
      <w:proofErr w:type="spellStart"/>
      <w:r w:rsidRPr="00FE0B44">
        <w:rPr>
          <w:rFonts w:ascii="Arial" w:eastAsia="Arial" w:hAnsi="Arial" w:cs="Arial"/>
          <w:bCs/>
          <w:color w:val="000000"/>
          <w:sz w:val="20"/>
          <w:szCs w:val="20"/>
          <w:lang w:val="en-ID"/>
        </w:rPr>
        <w:t>instill</w:t>
      </w:r>
      <w:proofErr w:type="spellEnd"/>
      <w:r w:rsidRPr="00FE0B44">
        <w:rPr>
          <w:rFonts w:ascii="Arial" w:eastAsia="Arial" w:hAnsi="Arial" w:cs="Arial"/>
          <w:bCs/>
          <w:color w:val="000000"/>
          <w:sz w:val="20"/>
          <w:szCs w:val="20"/>
          <w:lang w:val="en-ID"/>
        </w:rPr>
        <w:t xml:space="preserve"> a strong foundation of </w:t>
      </w:r>
      <w:proofErr w:type="spellStart"/>
      <w:r w:rsidRPr="00FE0B44">
        <w:rPr>
          <w:rFonts w:ascii="Arial" w:eastAsia="Arial" w:hAnsi="Arial" w:cs="Arial"/>
          <w:bCs/>
          <w:color w:val="000000"/>
          <w:sz w:val="20"/>
          <w:szCs w:val="20"/>
          <w:lang w:val="en-ID"/>
        </w:rPr>
        <w:t>aqidah</w:t>
      </w:r>
      <w:proofErr w:type="spellEnd"/>
      <w:r w:rsidRPr="00FE0B44">
        <w:rPr>
          <w:rFonts w:ascii="Arial" w:eastAsia="Arial" w:hAnsi="Arial" w:cs="Arial"/>
          <w:bCs/>
          <w:color w:val="000000"/>
          <w:sz w:val="20"/>
          <w:szCs w:val="20"/>
          <w:lang w:val="en-ID"/>
        </w:rPr>
        <w:t xml:space="preserve">. This imbalance diminishes the ability of Islamic education to produce complete human beings (insan </w:t>
      </w:r>
      <w:r w:rsidRPr="00FE0B44">
        <w:rPr>
          <w:rFonts w:ascii="Arial" w:eastAsia="Arial" w:hAnsi="Arial" w:cs="Arial"/>
          <w:bCs/>
          <w:color w:val="000000"/>
          <w:sz w:val="20"/>
          <w:szCs w:val="20"/>
          <w:lang w:val="en-ID"/>
        </w:rPr>
        <w:lastRenderedPageBreak/>
        <w:t xml:space="preserve">kamil) in accordance with the ideals of </w:t>
      </w:r>
      <w:proofErr w:type="spellStart"/>
      <w:r w:rsidRPr="00FE0B44">
        <w:rPr>
          <w:rFonts w:ascii="Arial" w:eastAsia="Arial" w:hAnsi="Arial" w:cs="Arial"/>
          <w:bCs/>
          <w:color w:val="000000"/>
          <w:sz w:val="20"/>
          <w:szCs w:val="20"/>
          <w:lang w:val="en-ID"/>
        </w:rPr>
        <w:t>tarbiyah</w:t>
      </w:r>
      <w:proofErr w:type="spellEnd"/>
      <w:r w:rsidRPr="00FE0B44">
        <w:rPr>
          <w:rFonts w:ascii="Arial" w:eastAsia="Arial" w:hAnsi="Arial" w:cs="Arial"/>
          <w:bCs/>
          <w:color w:val="000000"/>
          <w:sz w:val="20"/>
          <w:szCs w:val="20"/>
          <w:lang w:val="en-ID"/>
        </w:rPr>
        <w:t xml:space="preserve"> Islamiyah. Therefore, reformulating the curriculum to be integrative and contextually relevant is imperative to meet the demands of the present era.</w:t>
      </w:r>
      <w:r>
        <w:rPr>
          <w:rFonts w:ascii="Arial" w:eastAsia="Arial" w:hAnsi="Arial" w:cs="Arial"/>
          <w:bCs/>
          <w:color w:val="000000"/>
          <w:sz w:val="20"/>
          <w:szCs w:val="20"/>
          <w:lang w:val="en-ID"/>
        </w:rPr>
        <w:t xml:space="preserve"> </w:t>
      </w: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t>In addition to the field of education, modernization has also had a significant impact on the social, cultural, and political spheres. Rapid and widespread changes have exerted considerable pressure on the preservation of normativ</w:t>
      </w:r>
      <w:r>
        <w:rPr>
          <w:rFonts w:ascii="Arial" w:eastAsia="Arial" w:hAnsi="Arial" w:cs="Arial"/>
          <w:bCs/>
          <w:color w:val="000000"/>
          <w:sz w:val="20"/>
          <w:szCs w:val="20"/>
          <w:lang w:val="en-ID"/>
        </w:rPr>
        <w:t xml:space="preserve">e Islamic values within society </w:t>
      </w:r>
      <w:r w:rsidR="00E85B7D">
        <w:rPr>
          <w:rFonts w:ascii="Arial" w:eastAsia="Arial" w:hAnsi="Arial" w:cs="Arial"/>
          <w:bCs/>
          <w:color w:val="000000"/>
          <w:sz w:val="20"/>
          <w:szCs w:val="20"/>
          <w:vertAlign w:val="superscript"/>
          <w:lang w:val="en-GB"/>
        </w:rPr>
        <w:fldChar w:fldCharType="begin"/>
      </w:r>
      <w:r w:rsidR="00E85B7D">
        <w:rPr>
          <w:rFonts w:ascii="Arial" w:eastAsia="Arial" w:hAnsi="Arial" w:cs="Arial"/>
          <w:bCs/>
          <w:color w:val="000000"/>
          <w:sz w:val="20"/>
          <w:szCs w:val="20"/>
          <w:lang w:val="en-ID"/>
        </w:rPr>
        <w:instrText>ADDIN CSL_CITATION {"citationItems":[{"id":"ITEM-1","itemData":{"author":[{"dropping-particle":"","family":"Hidayati","given":"Vitania","non-dropping-particle":"","parse-names":false,"suffix":""}],"id":"ITEM-1","issued":{"date-parts":[["2024"]]},"title":"Umat Islam dan Modernitas : Menjaga Relevansi di Era Perubahan","type":"article-journal","volume":"1"},"uris":["http://www.mendeley.com/documents/?uuid=14d2aa08-dafa-4c11-b71e-71de935732b3"]}],"mendeley":{"formattedCitation":"(Hidayati, 2024)","plainTextFormattedCitation":"(Hidayati, 2024)","previouslyFormattedCitation":"(Hidayati, 2024)"},"properties":{"noteIndex":0},"schema":"https://github.com/citation-style-language/schema/raw/master/csl-citation.json"}</w:instrText>
      </w:r>
      <w:r w:rsidR="00E85B7D">
        <w:rPr>
          <w:rFonts w:ascii="Arial" w:eastAsia="Arial" w:hAnsi="Arial" w:cs="Arial"/>
          <w:bCs/>
          <w:color w:val="000000"/>
          <w:sz w:val="20"/>
          <w:szCs w:val="20"/>
          <w:vertAlign w:val="superscript"/>
          <w:lang w:val="en-GB"/>
        </w:rPr>
        <w:fldChar w:fldCharType="separate"/>
      </w:r>
      <w:r w:rsidR="00E85B7D">
        <w:rPr>
          <w:rFonts w:ascii="Arial" w:eastAsia="Arial" w:hAnsi="Arial" w:cs="Arial"/>
          <w:bCs/>
          <w:noProof/>
          <w:color w:val="000000"/>
          <w:sz w:val="20"/>
          <w:szCs w:val="20"/>
          <w:lang w:val="en-ID"/>
        </w:rPr>
        <w:t>(Hidayati,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en-ID"/>
        </w:rPr>
        <w:t xml:space="preserve">. </w:t>
      </w:r>
      <w:r w:rsidRPr="00FE0B44">
        <w:rPr>
          <w:rFonts w:ascii="Arial" w:eastAsia="Arial" w:hAnsi="Arial" w:cs="Arial"/>
          <w:bCs/>
          <w:color w:val="000000"/>
          <w:sz w:val="20"/>
          <w:szCs w:val="20"/>
          <w:lang w:val="en-ID"/>
        </w:rPr>
        <w:t>In practice, Muslims frequently encounter dilemmas wherein Islamic teachings, rooted in tradition and classical texts, are brought into tension with the need to adapt to an ever-evolving social reality. For example, in areas such as work culture, lifestyle, gender relations, and expressions of religiosity in public spaces, debates often arise concerning the relevance of traditional teachings in light of modern principles such as human rights, democracy, and equality. These tensions are not only experienced externally between Muslims and the global community but also internally with</w:t>
      </w:r>
      <w:r>
        <w:rPr>
          <w:rFonts w:ascii="Arial" w:eastAsia="Arial" w:hAnsi="Arial" w:cs="Arial"/>
          <w:bCs/>
          <w:color w:val="000000"/>
          <w:sz w:val="20"/>
          <w:szCs w:val="20"/>
          <w:lang w:val="en-ID"/>
        </w:rPr>
        <w:t>in Muslim societies themselves.</w:t>
      </w: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t>Certain groups strive rigorously to safeguard the purity of Islamic teachings and resist change, while others advocate for the reinterpretation of religious doctrines to align them with contemporary contexts. This disharmony has given rise to ideological conflicts and even social polarization, which threatens the unity of the Muslim community. In such circumstances, religious values that once served as the primary guide for regulating both personal and social life have increasingly been marginalized, both in practice and within the broader societal value system. Islamic teachings that emphasize justice, solidarity, modesty</w:t>
      </w:r>
      <w:r w:rsidR="000C2F88">
        <w:rPr>
          <w:rFonts w:ascii="Arial" w:eastAsia="Arial" w:hAnsi="Arial" w:cs="Arial"/>
          <w:bCs/>
          <w:color w:val="000000"/>
          <w:sz w:val="20"/>
          <w:szCs w:val="20"/>
          <w:lang w:val="en-ID"/>
        </w:rPr>
        <w:t xml:space="preserve">, and social responsibility are </w:t>
      </w:r>
      <w:r w:rsidRPr="00FE0B44">
        <w:rPr>
          <w:rFonts w:ascii="Arial" w:eastAsia="Arial" w:hAnsi="Arial" w:cs="Arial"/>
          <w:bCs/>
          <w:color w:val="000000"/>
          <w:sz w:val="20"/>
          <w:szCs w:val="20"/>
          <w:lang w:val="en-ID"/>
        </w:rPr>
        <w:t>often displaced by pragmatic, materialistic, and individualistic values, which dominate the structure of modern society. If this situation persists without serious efforts to integrate Islamic values into the social reality in a contextual and meaningful way, Muslims risk becoming increasingly alienated from the nobl</w:t>
      </w:r>
      <w:r>
        <w:rPr>
          <w:rFonts w:ascii="Arial" w:eastAsia="Arial" w:hAnsi="Arial" w:cs="Arial"/>
          <w:bCs/>
          <w:color w:val="000000"/>
          <w:sz w:val="20"/>
          <w:szCs w:val="20"/>
          <w:lang w:val="en-ID"/>
        </w:rPr>
        <w:t>e values of their own tradition.</w:t>
      </w:r>
    </w:p>
    <w:p w:rsidR="00FE0B44"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en-ID"/>
        </w:rPr>
      </w:pPr>
      <w:r w:rsidRPr="00FE0B44">
        <w:rPr>
          <w:rFonts w:ascii="Arial" w:eastAsia="Arial" w:hAnsi="Arial" w:cs="Arial"/>
          <w:bCs/>
          <w:color w:val="000000"/>
          <w:sz w:val="20"/>
          <w:szCs w:val="20"/>
          <w:lang w:val="en-ID"/>
        </w:rPr>
        <w:t>Contemporary Muslim societies face significant challenges in preserving their religious identity amid the accelerating currents of globalization. The pervasive influence of Western popular culture, capitalist economic systems, and political structures that tend toward secularism have created a social environment that is increasingly detached from Islamic values</w:t>
      </w:r>
      <w:r>
        <w:rPr>
          <w:rFonts w:ascii="Arial" w:eastAsia="Arial" w:hAnsi="Arial" w:cs="Arial"/>
          <w:bCs/>
          <w:color w:val="000000"/>
          <w:sz w:val="20"/>
          <w:szCs w:val="20"/>
          <w:lang w:val="en-ID"/>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en-ID"/>
        </w:rPr>
        <w:instrText>ADDIN CSL_CITATION {"citationItems":[{"id":"ITEM-1","itemData":{"author":[{"dropping-particle":"","family":"Hidayati","given":"Vitania","non-dropping-particle":"","parse-names":false,"suffix":""}],"id":"ITEM-1","issued":{"date-parts":[["2024"]]},"title":"Umat Islam dan Modernitas : Menjaga Relevansi di Era Perubahan","type":"article-journal","volume":"1"},"uris":["http://www.mendeley.com/documents/?uuid=14d2aa08-dafa-4c11-b71e-71de935732b3"]}],"mendeley":{"formattedCitation":"(Hidayati, 2024)","plainTextFormattedCitation":"(Hidayati, 2024)","previouslyFormattedCitation":"(Hidayati,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en-ID"/>
        </w:rPr>
        <w:t>(Hidayati,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en-ID"/>
        </w:rPr>
        <w:t xml:space="preserve">. </w:t>
      </w:r>
      <w:r w:rsidRPr="00FE0B44">
        <w:rPr>
          <w:rFonts w:ascii="Arial" w:eastAsia="Arial" w:hAnsi="Arial" w:cs="Arial"/>
          <w:bCs/>
          <w:color w:val="000000"/>
          <w:sz w:val="20"/>
          <w:szCs w:val="20"/>
          <w:lang w:val="en-ID"/>
        </w:rPr>
        <w:t xml:space="preserve">The uncontrolled flow of information through digital platforms has further accelerated transformations in societal mindsets, lifestyles, and moral perspectives, particularly among the </w:t>
      </w:r>
      <w:r w:rsidRPr="00FE0B44">
        <w:rPr>
          <w:rFonts w:ascii="Arial" w:eastAsia="Arial" w:hAnsi="Arial" w:cs="Arial"/>
          <w:bCs/>
          <w:color w:val="000000"/>
          <w:sz w:val="20"/>
          <w:szCs w:val="20"/>
          <w:lang w:val="en-ID"/>
        </w:rPr>
        <w:lastRenderedPageBreak/>
        <w:t>younger generation. The inability of Muslims to respond adequately to these dynamics may weaken Islam's strategic position in the public sphere. Without systematic and structured efforts to promote a contextual and transformative understanding of religion, Muslims risk being marginalized in the process</w:t>
      </w:r>
      <w:r>
        <w:rPr>
          <w:rFonts w:ascii="Arial" w:eastAsia="Arial" w:hAnsi="Arial" w:cs="Arial"/>
          <w:bCs/>
          <w:color w:val="000000"/>
          <w:sz w:val="20"/>
          <w:szCs w:val="20"/>
          <w:lang w:val="en-ID"/>
        </w:rPr>
        <w:t>es shaping modern civilization.</w:t>
      </w:r>
    </w:p>
    <w:p w:rsidR="000C2F88"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FE0B44">
        <w:rPr>
          <w:rFonts w:ascii="Arial" w:eastAsia="Arial" w:hAnsi="Arial" w:cs="Arial"/>
          <w:bCs/>
          <w:color w:val="000000"/>
          <w:sz w:val="20"/>
          <w:szCs w:val="20"/>
          <w:lang w:val="en-ID"/>
        </w:rPr>
        <w:t>Modernity challenges traditional norms and encourages the emergence of secular, rationalistic, and liberal approaches to understanding religion</w:t>
      </w:r>
      <w:r>
        <w:rPr>
          <w:rFonts w:ascii="Arial" w:eastAsia="Arial" w:hAnsi="Arial" w:cs="Arial"/>
          <w:bCs/>
          <w:color w:val="000000"/>
          <w:sz w:val="20"/>
          <w:szCs w:val="20"/>
          <w:lang w:val="en-ID"/>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de-LU"/>
        </w:rPr>
        <w:instrText>ADDIN CSL_CITATION {"citationItems":[{"id":"ITEM-1","itemData":{"DOI":"10.47902/al-akmal.v3i6","author":[{"dropping-particle":"","family":"Kurniawan","given":"M. Agus","non-dropping-particle":"","parse-names":false,"suffix":""}],"container-title":"al Akmal : Jurnal Studi Islam","id":"ITEM-1","issue":"6","issued":{"date-parts":[["2024"]]},"title":"Islam dan Modernitas Menelusuri Hubungan Antara Tradisi dan Inovasi","type":"article-journal","volume":"3"},"uris":["http://www.mendeley.com/documents/?uuid=7206de60-e23f-4dc1-b688-30a490dc0b08"]}],"mendeley":{"formattedCitation":"(Kurniawan, 2024)","plainTextFormattedCitation":"(Kurniawan, 2024)","previouslyFormattedCitation":"(Kurniawan,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noProof/>
          <w:color w:val="000000"/>
          <w:sz w:val="20"/>
          <w:szCs w:val="20"/>
          <w:lang w:val="de-LU"/>
        </w:rPr>
        <w:t>(Kurniawan,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de-LU"/>
        </w:rPr>
        <w:t xml:space="preserve">. Perkembangan ilmu pengetahuan, teknologi, dan arus globalisasi telah mendorong masyarakat, termasuk umat Islam, untuk meninjau kembali cara pandang mereka terhadap nilai-nilai keagamaan. Hal ini menantang norma-norma tradisional yang selama ini menjadi dasar praktik keislaman di masyarakat, terutama yang bersifat tekstual dan tidak terbuka terhadap perubahan. </w:t>
      </w:r>
      <w:r w:rsidRPr="00FE0B44">
        <w:rPr>
          <w:rFonts w:ascii="Arial" w:eastAsia="Arial" w:hAnsi="Arial" w:cs="Arial"/>
          <w:bCs/>
          <w:color w:val="000000"/>
          <w:sz w:val="20"/>
          <w:szCs w:val="20"/>
          <w:lang w:val="de-LU"/>
        </w:rPr>
        <w:t>Advancements in science, technology, and globalization have compelled societies, including Muslim communities, to reexamine their perspectives on religious values. This development challenges the traditional norms that have long underpinned Islamic practices within society, especially those that are strictly textual and resistant to change. Modernity promotes the spirit of individual autonomy, freedom of thought, and the impetus to interpret religion through rational and scientific frameworks, which in certain respects are perceived to conflict with the more normative and sacred traditional modes of religious thought. In this context, sharp debates have emerged among Muslims regarding how religion should be approached in responding to contemporary developments.</w:t>
      </w:r>
      <w:r>
        <w:rPr>
          <w:rFonts w:ascii="Arial" w:eastAsia="Arial" w:hAnsi="Arial" w:cs="Arial"/>
          <w:bCs/>
          <w:color w:val="000000"/>
          <w:sz w:val="20"/>
          <w:szCs w:val="20"/>
          <w:lang w:val="de-LU"/>
        </w:rPr>
        <w:t xml:space="preserve"> </w:t>
      </w:r>
    </w:p>
    <w:p w:rsidR="008A4F7A" w:rsidRDefault="00FE0B44"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FE0B44">
        <w:rPr>
          <w:rFonts w:ascii="Arial" w:eastAsia="Arial" w:hAnsi="Arial" w:cs="Arial"/>
          <w:bCs/>
          <w:color w:val="000000"/>
          <w:sz w:val="20"/>
          <w:szCs w:val="20"/>
          <w:lang w:val="de-LU"/>
        </w:rPr>
        <w:t>Modernity has created a sharp arena of debate between conservative and progressive groups within Islam, particularly concerning responses to social, cultural, and technological changes. Conservative groups tend to adopt a rigid stance towards tradition, rejecting innovations perceived as deviations from classical teachings, while progressive groups advocate for intellectual renewal (ijtihad) to ensure that Islam remains contextual and relevant</w:t>
      </w:r>
      <w:r>
        <w:rPr>
          <w:rFonts w:ascii="Arial" w:eastAsia="Arial" w:hAnsi="Arial" w:cs="Arial"/>
          <w:bCs/>
          <w:color w:val="000000"/>
          <w:sz w:val="20"/>
          <w:szCs w:val="20"/>
          <w:lang w:val="de-LU"/>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de-LU"/>
        </w:rPr>
        <w:instrText>ADDIN CSL_CITATION {"citationItems":[{"id":"ITEM-1","itemData":{"DOI":"10.47902/al-akmal.v3i6","author":[{"dropping-particle":"","family":"Kurniawan","given":"M. Agus","non-dropping-particle":"","parse-names":false,"suffix":""}],"container-title":"al Akmal : Jurnal Studi Islam","id":"ITEM-1","issue":"6","issued":{"date-parts":[["2024"]]},"title":"Islam dan Modernitas Menelusuri Hubungan Antara Tradisi dan Inovasi","type":"article-journal","volume":"3"},"uris":["http://www.mendeley.com/documents/?uuid=7206de60-e23f-4dc1-b688-30a490dc0b08"]}],"mendeley":{"formattedCitation":"(Kurniawan, 2024)","plainTextFormattedCitation":"(Kurniawan, 2024)","previouslyFormattedCitation":"(Kurniawan,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(Kurniawan,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de-LU"/>
        </w:rPr>
        <w:t xml:space="preserve">. </w:t>
      </w:r>
      <w:r w:rsidR="008A4F7A" w:rsidRPr="008A4F7A">
        <w:rPr>
          <w:rFonts w:ascii="Arial" w:eastAsia="Arial" w:hAnsi="Arial" w:cs="Arial"/>
          <w:bCs/>
          <w:color w:val="000000"/>
          <w:sz w:val="20"/>
          <w:szCs w:val="20"/>
          <w:lang w:val="de-LU"/>
        </w:rPr>
        <w:t>If these tensions are not managed through open and constructive dialogue, they risk leading to polarization within the Muslim community itself. In extreme cases, this situation may open space for both radicalization and extreme secularization. Therefore, collaborative efforts across groups are essential to formulate an Islamic approach that is moderate, tolerant, and adaptiv</w:t>
      </w:r>
      <w:r w:rsidR="008A4F7A">
        <w:rPr>
          <w:rFonts w:ascii="Arial" w:eastAsia="Arial" w:hAnsi="Arial" w:cs="Arial"/>
          <w:bCs/>
          <w:color w:val="000000"/>
          <w:sz w:val="20"/>
          <w:szCs w:val="20"/>
          <w:lang w:val="de-LU"/>
        </w:rPr>
        <w:t>e to contemporary developments.</w:t>
      </w:r>
    </w:p>
    <w:p w:rsidR="008A4F7A" w:rsidRDefault="008A4F7A"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8A4F7A">
        <w:rPr>
          <w:rFonts w:ascii="Arial" w:eastAsia="Arial" w:hAnsi="Arial" w:cs="Arial"/>
          <w:bCs/>
          <w:color w:val="000000"/>
          <w:sz w:val="20"/>
          <w:szCs w:val="20"/>
          <w:lang w:val="de-LU"/>
        </w:rPr>
        <w:lastRenderedPageBreak/>
        <w:t>One of the fundamental strategies to address the increasingly complex and rapid challenges of modernization is to strengthen Islamic theological education (aqidah) comprehensively, through approaches that are contextual, dialogical, and responsive to social dynamics and the demands of the present era</w:t>
      </w:r>
      <w:r>
        <w:rPr>
          <w:rFonts w:ascii="Arial" w:eastAsia="Arial" w:hAnsi="Arial" w:cs="Arial"/>
          <w:bCs/>
          <w:color w:val="000000"/>
          <w:sz w:val="20"/>
          <w:szCs w:val="20"/>
          <w:lang w:val="de-LU"/>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de-LU"/>
        </w:rPr>
        <w:instrText>ADDIN CSL_CITATION {"citationItems":[{"id":"ITEM-1","itemData":{"abstract":"… islam. Pengaruh ini menjadi suatu tantangan yang besar dalam dakwah islam dan pendidikan islam. … berkembangnya nilai-nilai individualisme dan konsumerisme. Pendidikan aqidah …","author":[{"dropping-particle":"","family":"Nurlaela","given":"Fani","non-dropping-particle":"","parse-names":false,"suffix":""}],"container-title":"Innovative: Journal Of Social Science Research","id":"ITEM-1","issued":{"date-parts":[["2024"]]},"page":"5027-5037","title":"Urgensi Pendidikan Aqidah Islam Dalam Menghadapi Tantangan Modernitas (Analisis Lapangan di SMK Muhammadiyah 4 Jakarta)","type":"article-journal","volume":"4"},"uris":["http://www.mendeley.com/documents/?uuid=de91b5d0-c15c-43a7-8a44-685b7431667b"]}],"mendeley":{"formattedCitation":"(Nurlaela, 2024)","plainTextFormattedCitation":"(Nurlaela, 2024)","previouslyFormattedCitation":"(Nurlaela,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(Nurlaela,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The teaching of aqidah can no longer be treated as a one-way, purely normative transfer of knowledge. Instead, it must become a process of shaping religious character and identity that is robust, relevant, and applicable. In this context, religious educators hold a highly strategic role</w:t>
      </w:r>
      <w:r w:rsidR="000C2F88">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not merely as transmitters of instructional content, but as active mentors, facilitators of value-based dialogue, and spiritual companions who guide students in internalizing Islamic teachings critically and reflectively. Religious educators must evolve into agents of value transformation capable of translating the principles of aqidah into language and contexts that are accessible and meaningful to students, particularly as they navigate life in a digital era saturated with information, opinions, and i</w:t>
      </w:r>
      <w:r>
        <w:rPr>
          <w:rFonts w:ascii="Arial" w:eastAsia="Arial" w:hAnsi="Arial" w:cs="Arial"/>
          <w:bCs/>
          <w:color w:val="000000"/>
          <w:sz w:val="20"/>
          <w:szCs w:val="20"/>
          <w:lang w:val="de-LU"/>
        </w:rPr>
        <w:t>deologies from diverse sources.</w:t>
      </w:r>
    </w:p>
    <w:p w:rsidR="008A4F7A" w:rsidRDefault="008A4F7A"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8A4F7A">
        <w:rPr>
          <w:rFonts w:ascii="Arial" w:eastAsia="Arial" w:hAnsi="Arial" w:cs="Arial"/>
          <w:bCs/>
          <w:color w:val="000000"/>
          <w:sz w:val="20"/>
          <w:szCs w:val="20"/>
          <w:lang w:val="de-LU"/>
        </w:rPr>
        <w:t>The teaching of Islamic aqidah should be oriented towards building a spiritual and moral foundation that is not only theologically sound but also relevant to the needs and challenges of contemporary life. This includes addressing current issues such as interfaith tolerance, ethical engagement with social media, digital literacy, and the ability to critically and responsibly evaluate the vast flow of circulating information. In this regard, aqidah education should serve as a space for strengthening students' spiritual and intellectual resilience, equipping them to resist the currents of modernization that carry foreign values potentially at odds with Islamic principles. Students with a solid theological foundation will be better prepared to become individuals who are discerning, rational, and steadfast in upholding Islamic values when making decisions and navigating daily life.</w:t>
      </w:r>
    </w:p>
    <w:p w:rsidR="008A4F7A" w:rsidRDefault="008A4F7A"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8A4F7A">
        <w:rPr>
          <w:rFonts w:ascii="Arial" w:eastAsia="Arial" w:hAnsi="Arial" w:cs="Arial"/>
          <w:bCs/>
          <w:color w:val="000000"/>
          <w:sz w:val="20"/>
          <w:szCs w:val="20"/>
          <w:lang w:val="de-LU"/>
        </w:rPr>
        <w:t xml:space="preserve">Moreover, an inclusive and communicative approach to teaching aqidah fosters a healthy dialogical space between teachers and students, ensuring that students feel respected, heard, and provided with opportunities to express their questions and concerns regarding the social phenomena they encounter. Consequently, aqidah education becomes not only a vehicle for transmitting Islamic values but also a process of reinforcing self-identity and cultivating moral consciousness rooted in a comprehensive, profound, and applicable understanding of Islamic teachings. Such efforts are crucial to ensure that Muslim youth do not merely perceive Islam as </w:t>
      </w:r>
      <w:r w:rsidRPr="008A4F7A">
        <w:rPr>
          <w:rFonts w:ascii="Arial" w:eastAsia="Arial" w:hAnsi="Arial" w:cs="Arial"/>
          <w:bCs/>
          <w:color w:val="000000"/>
          <w:sz w:val="20"/>
          <w:szCs w:val="20"/>
          <w:lang w:val="de-LU"/>
        </w:rPr>
        <w:lastRenderedPageBreak/>
        <w:t>a doctrinal system but embrace it as a way of life capable of responding to the challenges of the times in a visionary, inclusive, and solution-oriented manner.</w:t>
      </w:r>
    </w:p>
    <w:p w:rsidR="008A4F7A" w:rsidRDefault="008A4F7A"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8A4F7A">
        <w:rPr>
          <w:rFonts w:ascii="Arial" w:eastAsia="Arial" w:hAnsi="Arial" w:cs="Arial"/>
          <w:bCs/>
          <w:color w:val="000000"/>
          <w:sz w:val="20"/>
          <w:szCs w:val="20"/>
          <w:lang w:val="de-LU"/>
        </w:rPr>
        <w:t>In response to contemporary developments, Islamic education must be enhanced through the strengthening of curricula that embody Islamic chara</w:t>
      </w:r>
      <w:r>
        <w:rPr>
          <w:rFonts w:ascii="Arial" w:eastAsia="Arial" w:hAnsi="Arial" w:cs="Arial"/>
          <w:bCs/>
          <w:color w:val="000000"/>
          <w:sz w:val="20"/>
          <w:szCs w:val="20"/>
          <w:lang w:val="de-LU"/>
        </w:rPr>
        <w:t xml:space="preserve">cter while remaining contextual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de-LU"/>
        </w:rPr>
        <w:instrText>ADDIN CSL_CITATION {"citationItems":[{"id":"ITEM-1","itemData":{"DOI":"10.47134/pjpi.v1i4.758","abstract":"Artikel ini mengkaji tantangan dan peluang yang dihadapi pendidikan Islam dalam konteks modern. Pendidikan Islam berada di persimpangan antara tradisi dan modernitas, mengharuskan adaptasi terhadap perkembangan teknologi dan globalisasi. Tantangan utama termasuk bagaimana mempertahankan nilai-nilai inti agama dalam lingkungan yang semakin sekuler dan serba cepat. Namun, dalam tantangan ini terbuka pula peluang untuk memanfaatkan teknologi sebagai alat untuk penyebaran dan pemahaman yang lebih luas terhadap Islam. Artikel ini juga mengeksplorasi upaya-upaya dalam meningkatkan kualitas pendidikan Islam yang inklusif dan relevan dalam masyarakat modern.","author":[{"dropping-particle":"","family":"Johan","given":"Budi","non-dropping-particle":"","parse-names":false,"suffix":""},{"dropping-particle":"","family":"Husnah","given":"Farah Miftahul","non-dropping-particle":"","parse-names":false,"suffix":""},{"dropping-particle":"","family":"Puteri","given":"Alfianti Darma","non-dropping-particle":"","parse-names":false,"suffix":""},{"dropping-particle":"","family":"Hartami","given":"Hartami","non-dropping-particle":"","parse-names":false,"suffix":""},{"dropping-particle":"","family":"Rahmah","given":"Ahda Alifia","non-dropping-particle":"","parse-names":false,"suffix":""},{"dropping-particle":"","family":"Adnin","given":"Anzili Rahma Jannati","non-dropping-particle":"","parse-names":false,"suffix":""}],"container-title":"Jurnal Pendidikan Islam","id":"ITEM-1","issue":"4","issued":{"date-parts":[["2024"]]},"page":"13","title":"Tantangan dan Peluang Pendidikan Islam dalam Konteks Modern","type":"article-journal","volume":"1"},"uris":["http://www.mendeley.com/documents/?uuid=5f0bbf1d-92bf-4255-ba8e-e9528613dc70"]}],"mendeley":{"formattedCitation":"(Johan et al., 2024)","plainTextFormattedCitation":"(Johan et al., 2024)","previouslyFormattedCitation":"(Johan et al.,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(Johan et al.,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The development of such curricula should reflect the core values of Islam while also providing space for the mastery of modern science and technology. In addition to curriculum reform, the integration of digital technology into the learning process has become imperative. The digital world offers vast opportunities for Islamic education to expand the reach of da'wah, promote Islam as a mercy to all creation (rahmatan lil ‘alamin), and present learning materials in ways that are engaging, interactive, and aligned with the characteristics of the digital generation. Digital platforms such as social media, educational applications, and multimedia content must be optimally utilized as cultural da'wah tools that reach all segments of society, particularly the youth. Islamic education must not be exclusive; rather, it should be inclusive, progressive, and capable of addressing the diverse needs of students from various socio-cultural backgrounds. In doing so, Islamic educational institutions will become centers for nurturing a generation of Muslims who are intellectually compe</w:t>
      </w:r>
      <w:r>
        <w:rPr>
          <w:rFonts w:ascii="Arial" w:eastAsia="Arial" w:hAnsi="Arial" w:cs="Arial"/>
          <w:bCs/>
          <w:color w:val="000000"/>
          <w:sz w:val="20"/>
          <w:szCs w:val="20"/>
          <w:lang w:val="de-LU"/>
        </w:rPr>
        <w:t>tent and spiritually excellent.</w:t>
      </w:r>
    </w:p>
    <w:p w:rsidR="008A4F7A" w:rsidRDefault="008A4F7A" w:rsidP="0044342A">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8A4F7A">
        <w:rPr>
          <w:rFonts w:ascii="Arial" w:eastAsia="Arial" w:hAnsi="Arial" w:cs="Arial"/>
          <w:bCs/>
          <w:color w:val="000000"/>
          <w:sz w:val="20"/>
          <w:szCs w:val="20"/>
          <w:lang w:val="de-LU"/>
        </w:rPr>
        <w:t>The development of contextual interpretation approaches, particularly those based on maqāṣid al-sharī‘ah, is essential for addressing contemporary challenges without compromising the fundamental principles of Islam</w:t>
      </w:r>
      <w:r>
        <w:rPr>
          <w:rFonts w:ascii="Arial" w:eastAsia="Arial" w:hAnsi="Arial" w:cs="Arial"/>
          <w:bCs/>
          <w:color w:val="000000"/>
          <w:sz w:val="20"/>
          <w:szCs w:val="20"/>
          <w:lang w:val="de-LU"/>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de-LU"/>
        </w:rPr>
        <w:instrText>ADDIN CSL_CITATION {"citationItems":[{"id":"ITEM-1","itemData":{"author":[{"dropping-particle":"","family":"Hidayati","given":"Vitania","non-dropping-particle":"","parse-names":false,"suffix":""}],"id":"ITEM-1","issued":{"date-parts":[["2024"]]},"title":"Umat Islam dan Modernitas : Menjaga Relevansi di Era Perubahan","type":"article-journal","volume":"1"},"uris":["http://www.mendeley.com/documents/?uuid=14d2aa08-dafa-4c11-b71e-71de935732b3"]}],"mendeley":{"formattedCitation":"(Hidayati, 2024)","plainTextFormattedCitation":"(Hidayati, 2024)","previouslyFormattedCitation":"(Hidayati,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(Hidayati,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 xml:space="preserve">An interpretation rooted in maqāṣid does not imply neglecting the sacred texts (nash) or the core principles of sharia; instead, it emphasizes the importance of comprehensively understanding these texts to ensure their continued relevance and applicability in the varied circumstances of modern human life. Social media must be utilized wisely and strategically as an effective and inclusive tool for da'wah. By disseminating messages of Islam that are friendly and solution-oriented, Muslims can respond to common misconceptions that often arise in digital public spaces while shaping constructive public opinion. Furthermore, the active participation of Muslims in public discourse, both at the local and global levels, is of great importance. Interfaith dialogue, cross-cultural collaboration, and participation in international forums are all part of strategies to build the bargaining power of the Muslim community in global affairs. Muslims should not merely present themselves as a defensive community responding to </w:t>
      </w:r>
      <w:r w:rsidRPr="008A4F7A">
        <w:rPr>
          <w:rFonts w:ascii="Arial" w:eastAsia="Arial" w:hAnsi="Arial" w:cs="Arial"/>
          <w:bCs/>
          <w:color w:val="000000"/>
          <w:sz w:val="20"/>
          <w:szCs w:val="20"/>
          <w:lang w:val="de-LU"/>
        </w:rPr>
        <w:lastRenderedPageBreak/>
        <w:t>attacks or negative stereotypes, but rather as a moral force offering ethical and constructive solutions to universal human problems. This demands intellectual openness, broad horizons, and deep spirituality grounded in noble and inclusive Islamic teachings.</w:t>
      </w:r>
    </w:p>
    <w:p w:rsidR="004B2360" w:rsidRDefault="008A4F7A" w:rsidP="004B2360">
      <w:pPr>
        <w:pBdr>
          <w:top w:val="nil"/>
          <w:left w:val="nil"/>
          <w:bottom w:val="nil"/>
          <w:right w:val="nil"/>
          <w:between w:val="nil"/>
        </w:pBdr>
        <w:spacing w:after="0" w:line="480" w:lineRule="auto"/>
        <w:ind w:firstLine="425"/>
        <w:jc w:val="both"/>
        <w:rPr>
          <w:rFonts w:ascii="Arial" w:eastAsia="Arial" w:hAnsi="Arial" w:cs="Arial"/>
          <w:bCs/>
          <w:color w:val="000000"/>
          <w:sz w:val="20"/>
          <w:szCs w:val="20"/>
          <w:lang w:val="de-LU"/>
        </w:rPr>
      </w:pPr>
      <w:r w:rsidRPr="008A4F7A">
        <w:rPr>
          <w:rFonts w:ascii="Arial" w:eastAsia="Arial" w:hAnsi="Arial" w:cs="Arial"/>
          <w:bCs/>
          <w:color w:val="000000"/>
          <w:sz w:val="20"/>
          <w:szCs w:val="20"/>
          <w:lang w:val="de-LU"/>
        </w:rPr>
        <w:t>The Muslim community must also promote the revitalization of the ijtihad tradition as a mechanism for interpreting Islamic teachings in contextual and solution-oriented ways</w:t>
      </w:r>
      <w:r>
        <w:rPr>
          <w:rFonts w:ascii="Arial" w:eastAsia="Arial" w:hAnsi="Arial" w:cs="Arial"/>
          <w:bCs/>
          <w:color w:val="000000"/>
          <w:sz w:val="20"/>
          <w:szCs w:val="20"/>
          <w:lang w:val="de-LU"/>
        </w:rPr>
        <w:t xml:space="preserve"> </w:t>
      </w:r>
      <w:r w:rsidR="00E85B7D">
        <w:rPr>
          <w:rFonts w:ascii="Arial" w:eastAsia="Arial" w:hAnsi="Arial" w:cs="Arial"/>
          <w:bCs/>
          <w:color w:val="000000"/>
          <w:sz w:val="20"/>
          <w:szCs w:val="20"/>
          <w:vertAlign w:val="superscript"/>
          <w:lang w:val="de-LU"/>
        </w:rPr>
        <w:fldChar w:fldCharType="begin"/>
      </w:r>
      <w:r w:rsidR="00E85B7D">
        <w:rPr>
          <w:rFonts w:ascii="Arial" w:eastAsia="Arial" w:hAnsi="Arial" w:cs="Arial"/>
          <w:bCs/>
          <w:color w:val="000000"/>
          <w:sz w:val="20"/>
          <w:szCs w:val="20"/>
          <w:lang w:val="de-LU"/>
        </w:rPr>
        <w:instrText>ADDIN CSL_CITATION {"citationItems":[{"id":"ITEM-1","itemData":{"DOI":"10.47902/al-akmal.v3i6","author":[{"dropping-particle":"","family":"Kurniawan","given":"M. Agus","non-dropping-particle":"","parse-names":false,"suffix":""}],"container-title":"al Akmal : Jurnal Studi Islam","id":"ITEM-1","issue":"6","issued":{"date-parts":[["2024"]]},"title":"Islam dan Modernitas Menelusuri Hubungan Antara Tradisi dan Inovasi","type":"article-journal","volume":"3"},"uris":["http://www.mendeley.com/documents/?uuid=7206de60-e23f-4dc1-b688-30a490dc0b08"]}],"mendeley":{"formattedCitation":"(Kurniawan, 2024)","plainTextFormattedCitation":"(Kurniawan, 2024)","previouslyFormattedCitation":"(Kurniawan, 2024)"},"properties":{"noteIndex":0},"schema":"https://github.com/citation-style-language/schema/raw/master/csl-citation.json"}</w:instrText>
      </w:r>
      <w:r w:rsidR="00E85B7D">
        <w:rPr>
          <w:rFonts w:ascii="Arial" w:eastAsia="Arial" w:hAnsi="Arial" w:cs="Arial"/>
          <w:bCs/>
          <w:color w:val="000000"/>
          <w:sz w:val="20"/>
          <w:szCs w:val="20"/>
          <w:vertAlign w:val="superscript"/>
          <w:lang w:val="de-LU"/>
        </w:rPr>
        <w:fldChar w:fldCharType="separate"/>
      </w:r>
      <w:r w:rsidR="00E85B7D">
        <w:rPr>
          <w:rFonts w:ascii="Arial" w:eastAsia="Arial" w:hAnsi="Arial" w:cs="Arial"/>
          <w:bCs/>
          <w:noProof/>
          <w:color w:val="000000"/>
          <w:sz w:val="20"/>
          <w:szCs w:val="20"/>
          <w:lang w:val="de-LU"/>
        </w:rPr>
        <w:t>(Kurniawan, 2024)</w:t>
      </w:r>
      <w:r w:rsidR="00E85B7D">
        <w:rPr>
          <w:rFonts w:ascii="Arial" w:eastAsia="Arial" w:hAnsi="Arial" w:cs="Arial"/>
          <w:color w:val="000000"/>
          <w:sz w:val="20"/>
          <w:szCs w:val="20"/>
          <w:lang w:val="en-ID"/>
        </w:rPr>
        <w:fldChar w:fldCharType="end"/>
      </w:r>
      <w:r w:rsidR="00E85B7D">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Ijtihad based on maqāṣid principles and social realities can generate interpretations that are more relevant to contemporary issues, without detaching from the essence of Islamic teachings. In this regard, enhancing Islamic literacy that is critical and reflective becomes crucial. Such literacy extends beyond mere memorization of texts to include deep understanding, logical argumentation, and ethical sensitivity. A productive and sustainable dialogue between tradition and innovation must be cultivated. The rich tradition of Islamic scholarship should serve as a foundation</w:t>
      </w:r>
      <w:r w:rsidR="000C2F88">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not as an obstacle</w:t>
      </w:r>
      <w:r w:rsidR="000C2F88">
        <w:rPr>
          <w:rFonts w:ascii="Arial" w:eastAsia="Arial" w:hAnsi="Arial" w:cs="Arial"/>
          <w:bCs/>
          <w:color w:val="000000"/>
          <w:sz w:val="20"/>
          <w:szCs w:val="20"/>
          <w:lang w:val="de-LU"/>
        </w:rPr>
        <w:t xml:space="preserve">, </w:t>
      </w:r>
      <w:r w:rsidRPr="008A4F7A">
        <w:rPr>
          <w:rFonts w:ascii="Arial" w:eastAsia="Arial" w:hAnsi="Arial" w:cs="Arial"/>
          <w:bCs/>
          <w:color w:val="000000"/>
          <w:sz w:val="20"/>
          <w:szCs w:val="20"/>
          <w:lang w:val="de-LU"/>
        </w:rPr>
        <w:t>but as a source of inspiration for grounded yet open renewal efforts. Through the revitalization of ijtihad, the advancement of transformative Islamic literacy, and the fostering of dialogue between tradition and modern progress, Muslims will be well-positioned to play a strategic role in shaping a global civilization founded upon the values of justice, humanity, and sustainability. Islam will continue to stand as a living, dynamic, and enduring moral and spiri</w:t>
      </w:r>
      <w:r>
        <w:rPr>
          <w:rFonts w:ascii="Arial" w:eastAsia="Arial" w:hAnsi="Arial" w:cs="Arial"/>
          <w:bCs/>
          <w:color w:val="000000"/>
          <w:sz w:val="20"/>
          <w:szCs w:val="20"/>
          <w:lang w:val="de-LU"/>
        </w:rPr>
        <w:t xml:space="preserve">tual force </w:t>
      </w:r>
      <w:proofErr w:type="spellStart"/>
      <w:r>
        <w:rPr>
          <w:rFonts w:ascii="Arial" w:eastAsia="Arial" w:hAnsi="Arial" w:cs="Arial"/>
          <w:bCs/>
          <w:color w:val="000000"/>
          <w:sz w:val="20"/>
          <w:szCs w:val="20"/>
          <w:lang w:val="de-LU"/>
        </w:rPr>
        <w:t>for</w:t>
      </w:r>
      <w:proofErr w:type="spellEnd"/>
      <w:r>
        <w:rPr>
          <w:rFonts w:ascii="Arial" w:eastAsia="Arial" w:hAnsi="Arial" w:cs="Arial"/>
          <w:bCs/>
          <w:color w:val="000000"/>
          <w:sz w:val="20"/>
          <w:szCs w:val="20"/>
          <w:lang w:val="de-LU"/>
        </w:rPr>
        <w:t xml:space="preserve"> all </w:t>
      </w:r>
      <w:proofErr w:type="spellStart"/>
      <w:r>
        <w:rPr>
          <w:rFonts w:ascii="Arial" w:eastAsia="Arial" w:hAnsi="Arial" w:cs="Arial"/>
          <w:bCs/>
          <w:color w:val="000000"/>
          <w:sz w:val="20"/>
          <w:szCs w:val="20"/>
          <w:lang w:val="de-LU"/>
        </w:rPr>
        <w:t>of</w:t>
      </w:r>
      <w:proofErr w:type="spellEnd"/>
      <w:r>
        <w:rPr>
          <w:rFonts w:ascii="Arial" w:eastAsia="Arial" w:hAnsi="Arial" w:cs="Arial"/>
          <w:bCs/>
          <w:color w:val="000000"/>
          <w:sz w:val="20"/>
          <w:szCs w:val="20"/>
          <w:lang w:val="de-LU"/>
        </w:rPr>
        <w:t xml:space="preserve"> </w:t>
      </w:r>
      <w:proofErr w:type="spellStart"/>
      <w:r>
        <w:rPr>
          <w:rFonts w:ascii="Arial" w:eastAsia="Arial" w:hAnsi="Arial" w:cs="Arial"/>
          <w:bCs/>
          <w:color w:val="000000"/>
          <w:sz w:val="20"/>
          <w:szCs w:val="20"/>
          <w:lang w:val="de-LU"/>
        </w:rPr>
        <w:t>humanity</w:t>
      </w:r>
      <w:proofErr w:type="spellEnd"/>
      <w:r>
        <w:rPr>
          <w:rFonts w:ascii="Arial" w:eastAsia="Arial" w:hAnsi="Arial" w:cs="Arial"/>
          <w:bCs/>
          <w:color w:val="000000"/>
          <w:sz w:val="20"/>
          <w:szCs w:val="20"/>
          <w:lang w:val="de-LU"/>
        </w:rPr>
        <w:t>.</w:t>
      </w:r>
    </w:p>
    <w:p w:rsidR="00761C3A" w:rsidRPr="004B2360" w:rsidRDefault="008A4F7A" w:rsidP="004B2360">
      <w:pPr>
        <w:pStyle w:val="ListParagraph"/>
        <w:numPr>
          <w:ilvl w:val="0"/>
          <w:numId w:val="11"/>
        </w:numPr>
        <w:pBdr>
          <w:top w:val="nil"/>
          <w:left w:val="nil"/>
          <w:bottom w:val="nil"/>
          <w:right w:val="nil"/>
          <w:between w:val="nil"/>
        </w:pBdr>
        <w:spacing w:after="0" w:line="480" w:lineRule="auto"/>
        <w:jc w:val="both"/>
        <w:rPr>
          <w:rFonts w:ascii="Arial" w:eastAsia="Arial" w:hAnsi="Arial" w:cs="Arial"/>
          <w:bCs/>
          <w:color w:val="000000"/>
          <w:sz w:val="20"/>
          <w:szCs w:val="20"/>
          <w:lang w:val="de-LU"/>
        </w:rPr>
      </w:pPr>
      <w:r w:rsidRPr="004B2360">
        <w:rPr>
          <w:rFonts w:ascii="Arial" w:eastAsia="Arial" w:hAnsi="Arial" w:cs="Arial"/>
          <w:b/>
          <w:color w:val="000000"/>
          <w:sz w:val="20"/>
          <w:szCs w:val="20"/>
        </w:rPr>
        <w:t>Conclusion</w:t>
      </w:r>
    </w:p>
    <w:p w:rsidR="00761C3A" w:rsidRDefault="008A4F7A" w:rsidP="0044342A">
      <w:pPr>
        <w:pBdr>
          <w:top w:val="nil"/>
          <w:left w:val="nil"/>
          <w:bottom w:val="nil"/>
          <w:right w:val="nil"/>
          <w:between w:val="nil"/>
        </w:pBdr>
        <w:spacing w:after="0" w:line="480" w:lineRule="auto"/>
        <w:ind w:firstLine="425"/>
        <w:jc w:val="both"/>
        <w:rPr>
          <w:rFonts w:ascii="Arial" w:eastAsia="Arial" w:hAnsi="Arial" w:cs="Arial"/>
          <w:color w:val="000000"/>
          <w:sz w:val="20"/>
          <w:szCs w:val="20"/>
        </w:rPr>
      </w:pPr>
      <w:r w:rsidRPr="008A4F7A">
        <w:rPr>
          <w:rFonts w:ascii="Arial" w:eastAsia="Arial" w:hAnsi="Arial" w:cs="Arial"/>
          <w:bCs/>
          <w:color w:val="000000"/>
          <w:sz w:val="20"/>
          <w:szCs w:val="20"/>
        </w:rPr>
        <w:t xml:space="preserve">Based on the findings of the literature review, it can be concluded that modernization has brought complex impacts on Muslim societies. On the one hand, modernization provides opportunities to undertake </w:t>
      </w:r>
      <w:proofErr w:type="spellStart"/>
      <w:r w:rsidRPr="008A4F7A">
        <w:rPr>
          <w:rFonts w:ascii="Arial" w:eastAsia="Arial" w:hAnsi="Arial" w:cs="Arial"/>
          <w:bCs/>
          <w:color w:val="000000"/>
          <w:sz w:val="20"/>
          <w:szCs w:val="20"/>
        </w:rPr>
        <w:t>tajdīd</w:t>
      </w:r>
      <w:proofErr w:type="spellEnd"/>
      <w:r w:rsidRPr="008A4F7A">
        <w:rPr>
          <w:rFonts w:ascii="Arial" w:eastAsia="Arial" w:hAnsi="Arial" w:cs="Arial"/>
          <w:bCs/>
          <w:color w:val="000000"/>
          <w:sz w:val="20"/>
          <w:szCs w:val="20"/>
        </w:rPr>
        <w:t xml:space="preserve"> or the renewal of Islamic understanding, making it more contextual and responsive to the changing times. However, on the other hand, modernization also presents serious challenges, such as the weakening of ‘</w:t>
      </w:r>
      <w:proofErr w:type="spellStart"/>
      <w:r w:rsidRPr="008A4F7A">
        <w:rPr>
          <w:rFonts w:ascii="Arial" w:eastAsia="Arial" w:hAnsi="Arial" w:cs="Arial"/>
          <w:bCs/>
          <w:color w:val="000000"/>
          <w:sz w:val="20"/>
          <w:szCs w:val="20"/>
        </w:rPr>
        <w:t>aqīdah</w:t>
      </w:r>
      <w:proofErr w:type="spellEnd"/>
      <w:r w:rsidRPr="008A4F7A">
        <w:rPr>
          <w:rFonts w:ascii="Arial" w:eastAsia="Arial" w:hAnsi="Arial" w:cs="Arial"/>
          <w:bCs/>
          <w:color w:val="000000"/>
          <w:sz w:val="20"/>
          <w:szCs w:val="20"/>
        </w:rPr>
        <w:t xml:space="preserve"> understanding and practice among younger generations, the growing influence of consumerist and hedonistic cultures, and the occurrence of internal conflicts between conservative and progressive groups in responding to social dynamics. Islamic education plays a central role in addressing these challenges, particularly through strengthening adaptive curricula, fostering critical Islamic literacy, and utilizing digital media as a tool for da‘wah. Contextual interpretations of religious teachings through approaches such as </w:t>
      </w:r>
      <w:proofErr w:type="spellStart"/>
      <w:r w:rsidRPr="008A4F7A">
        <w:rPr>
          <w:rFonts w:ascii="Arial" w:eastAsia="Arial" w:hAnsi="Arial" w:cs="Arial"/>
          <w:bCs/>
          <w:color w:val="000000"/>
          <w:sz w:val="20"/>
          <w:szCs w:val="20"/>
        </w:rPr>
        <w:t>maqāṣid</w:t>
      </w:r>
      <w:proofErr w:type="spellEnd"/>
      <w:r w:rsidRPr="008A4F7A">
        <w:rPr>
          <w:rFonts w:ascii="Arial" w:eastAsia="Arial" w:hAnsi="Arial" w:cs="Arial"/>
          <w:bCs/>
          <w:color w:val="000000"/>
          <w:sz w:val="20"/>
          <w:szCs w:val="20"/>
        </w:rPr>
        <w:t xml:space="preserve"> al-</w:t>
      </w:r>
      <w:proofErr w:type="spellStart"/>
      <w:proofErr w:type="gramStart"/>
      <w:r w:rsidRPr="008A4F7A">
        <w:rPr>
          <w:rFonts w:ascii="Arial" w:eastAsia="Arial" w:hAnsi="Arial" w:cs="Arial"/>
          <w:bCs/>
          <w:color w:val="000000"/>
          <w:sz w:val="20"/>
          <w:szCs w:val="20"/>
        </w:rPr>
        <w:t>syarī‘</w:t>
      </w:r>
      <w:proofErr w:type="gramEnd"/>
      <w:r w:rsidRPr="008A4F7A">
        <w:rPr>
          <w:rFonts w:ascii="Arial" w:eastAsia="Arial" w:hAnsi="Arial" w:cs="Arial"/>
          <w:bCs/>
          <w:color w:val="000000"/>
          <w:sz w:val="20"/>
          <w:szCs w:val="20"/>
        </w:rPr>
        <w:t>ah</w:t>
      </w:r>
      <w:proofErr w:type="spellEnd"/>
      <w:r w:rsidRPr="008A4F7A">
        <w:rPr>
          <w:rFonts w:ascii="Arial" w:eastAsia="Arial" w:hAnsi="Arial" w:cs="Arial"/>
          <w:bCs/>
          <w:color w:val="000000"/>
          <w:sz w:val="20"/>
          <w:szCs w:val="20"/>
        </w:rPr>
        <w:t xml:space="preserve"> and </w:t>
      </w:r>
      <w:proofErr w:type="spellStart"/>
      <w:r w:rsidRPr="008A4F7A">
        <w:rPr>
          <w:rFonts w:ascii="Arial" w:eastAsia="Arial" w:hAnsi="Arial" w:cs="Arial"/>
          <w:bCs/>
          <w:color w:val="000000"/>
          <w:sz w:val="20"/>
          <w:szCs w:val="20"/>
        </w:rPr>
        <w:t>ijtihād</w:t>
      </w:r>
      <w:proofErr w:type="spellEnd"/>
      <w:r w:rsidRPr="008A4F7A">
        <w:rPr>
          <w:rFonts w:ascii="Arial" w:eastAsia="Arial" w:hAnsi="Arial" w:cs="Arial"/>
          <w:bCs/>
          <w:color w:val="000000"/>
          <w:sz w:val="20"/>
          <w:szCs w:val="20"/>
        </w:rPr>
        <w:t xml:space="preserve"> are also essential to maintaining the </w:t>
      </w:r>
      <w:r w:rsidRPr="008A4F7A">
        <w:rPr>
          <w:rFonts w:ascii="Arial" w:eastAsia="Arial" w:hAnsi="Arial" w:cs="Arial"/>
          <w:bCs/>
          <w:color w:val="000000"/>
          <w:sz w:val="20"/>
          <w:szCs w:val="20"/>
        </w:rPr>
        <w:lastRenderedPageBreak/>
        <w:t xml:space="preserve">relevance of Islamic values amidst the currents of globalization. Therefore, Muslim communities need to develop synergistic strategies that preserve traditional values while embracing innovation, in order to build a modern society that remains firmly rooted in the principles of </w:t>
      </w:r>
      <w:proofErr w:type="spellStart"/>
      <w:r w:rsidRPr="008A4F7A">
        <w:rPr>
          <w:rFonts w:ascii="Arial" w:eastAsia="Arial" w:hAnsi="Arial" w:cs="Arial"/>
          <w:bCs/>
          <w:color w:val="000000"/>
          <w:sz w:val="20"/>
          <w:szCs w:val="20"/>
        </w:rPr>
        <w:t>sharī‘ah</w:t>
      </w:r>
      <w:proofErr w:type="spellEnd"/>
      <w:r w:rsidRPr="008A4F7A">
        <w:rPr>
          <w:rFonts w:ascii="Arial" w:eastAsia="Arial" w:hAnsi="Arial" w:cs="Arial"/>
          <w:bCs/>
          <w:color w:val="000000"/>
          <w:sz w:val="20"/>
          <w:szCs w:val="20"/>
        </w:rPr>
        <w:t>.</w:t>
      </w:r>
      <w:r>
        <w:rPr>
          <w:rFonts w:ascii="Arial" w:eastAsia="Arial" w:hAnsi="Arial" w:cs="Arial"/>
          <w:bCs/>
          <w:color w:val="000000"/>
          <w:sz w:val="20"/>
          <w:szCs w:val="20"/>
        </w:rPr>
        <w:t xml:space="preserve"> </w:t>
      </w:r>
    </w:p>
    <w:p w:rsidR="00761C3A" w:rsidRDefault="008A4F7A">
      <w:pPr>
        <w:pBdr>
          <w:top w:val="nil"/>
          <w:left w:val="nil"/>
          <w:bottom w:val="nil"/>
          <w:right w:val="nil"/>
          <w:between w:val="nil"/>
        </w:pBdr>
        <w:spacing w:before="240" w:after="120"/>
        <w:ind w:left="425" w:hanging="425"/>
        <w:rPr>
          <w:rFonts w:ascii="Arial" w:eastAsia="Arial" w:hAnsi="Arial" w:cs="Arial"/>
          <w:b/>
          <w:color w:val="000000"/>
          <w:sz w:val="20"/>
          <w:szCs w:val="20"/>
        </w:rPr>
      </w:pPr>
      <w:r>
        <w:rPr>
          <w:rFonts w:ascii="Arial" w:eastAsia="Arial" w:hAnsi="Arial" w:cs="Arial"/>
          <w:b/>
          <w:color w:val="000000"/>
          <w:sz w:val="20"/>
          <w:szCs w:val="20"/>
        </w:rPr>
        <w:t>Bibliography</w:t>
      </w:r>
    </w:p>
    <w:bookmarkStart w:id="1" w:name="bookmark=id.1fob9te" w:colFirst="0" w:colLast="0"/>
    <w:bookmarkEnd w:id="1"/>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eastAsia="Arial" w:hAnsi="Arial" w:cs="Arial"/>
          <w:color w:val="000000"/>
          <w:sz w:val="18"/>
          <w:szCs w:val="18"/>
          <w:lang w:val="de-LU"/>
        </w:rPr>
        <w:fldChar w:fldCharType="begin"/>
      </w:r>
      <w:r>
        <w:rPr>
          <w:rFonts w:ascii="Arial" w:eastAsia="Arial" w:hAnsi="Arial" w:cs="Arial"/>
          <w:color w:val="000000"/>
          <w:sz w:val="18"/>
          <w:szCs w:val="18"/>
          <w:lang w:val="en-ID"/>
        </w:rPr>
        <w:instrText xml:space="preserve">ADDIN Mendeley Bibliography CSL_BIBLIOGRAPHY </w:instrText>
      </w:r>
      <w:r>
        <w:rPr>
          <w:rFonts w:ascii="Arial" w:eastAsia="Arial" w:hAnsi="Arial" w:cs="Arial"/>
          <w:color w:val="000000"/>
          <w:sz w:val="18"/>
          <w:szCs w:val="18"/>
          <w:lang w:val="de-LU"/>
        </w:rPr>
        <w:fldChar w:fldCharType="separate"/>
      </w:r>
      <w:r>
        <w:rPr>
          <w:rFonts w:ascii="Arial" w:hAnsi="Arial" w:cs="Arial"/>
          <w:noProof/>
          <w:sz w:val="18"/>
        </w:rPr>
        <w:t xml:space="preserve">Aminah, A., &amp; Hasan, E. (2018). Perubahan Sosial Masyarakat Gampong Gunong Meulinteung Dari Petani Menjadi Pekebun Sawit. </w:t>
      </w:r>
      <w:r>
        <w:rPr>
          <w:rFonts w:ascii="Arial" w:hAnsi="Arial" w:cs="Arial"/>
          <w:i/>
          <w:iCs/>
          <w:noProof/>
          <w:sz w:val="18"/>
        </w:rPr>
        <w:t>Jurnal Community</w:t>
      </w:r>
      <w:r>
        <w:rPr>
          <w:rFonts w:ascii="Arial" w:hAnsi="Arial" w:cs="Arial"/>
          <w:noProof/>
          <w:sz w:val="18"/>
        </w:rPr>
        <w:t xml:space="preserve">, </w:t>
      </w:r>
      <w:r>
        <w:rPr>
          <w:rFonts w:ascii="Arial" w:hAnsi="Arial" w:cs="Arial"/>
          <w:i/>
          <w:iCs/>
          <w:noProof/>
          <w:sz w:val="18"/>
        </w:rPr>
        <w:t>3</w:t>
      </w:r>
      <w:r>
        <w:rPr>
          <w:rFonts w:ascii="Arial" w:hAnsi="Arial" w:cs="Arial"/>
          <w:noProof/>
          <w:sz w:val="18"/>
        </w:rPr>
        <w:t>(1), 1–13. https://doi.org/10.35308/jcpds.v3i1.142</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Badan Pusat Statistik. (2023). Statistik ketimpangan sosial dan ekonomi Indonesia.</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Baidowi, M., &amp; Hasan, I. (2024). Pengaruh Modernisasi Terhadap Struktur Sosial Masyarakat Pedesaan Di Indonesia. </w:t>
      </w:r>
      <w:r>
        <w:rPr>
          <w:rFonts w:ascii="Arial" w:hAnsi="Arial" w:cs="Arial"/>
          <w:i/>
          <w:iCs/>
          <w:noProof/>
          <w:sz w:val="18"/>
        </w:rPr>
        <w:t>Jurnal Pendidikan Sosial Indonesia</w:t>
      </w:r>
      <w:r>
        <w:rPr>
          <w:rFonts w:ascii="Arial" w:hAnsi="Arial" w:cs="Arial"/>
          <w:noProof/>
          <w:sz w:val="18"/>
        </w:rPr>
        <w:t xml:space="preserve">, </w:t>
      </w:r>
      <w:r>
        <w:rPr>
          <w:rFonts w:ascii="Arial" w:hAnsi="Arial" w:cs="Arial"/>
          <w:i/>
          <w:iCs/>
          <w:noProof/>
          <w:sz w:val="18"/>
        </w:rPr>
        <w:t>2</w:t>
      </w:r>
      <w:r>
        <w:rPr>
          <w:rFonts w:ascii="Arial" w:hAnsi="Arial" w:cs="Arial"/>
          <w:noProof/>
          <w:sz w:val="18"/>
        </w:rPr>
        <w:t>(1), 28–35.</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Creswell, J. W. (2014). </w:t>
      </w:r>
      <w:r>
        <w:rPr>
          <w:rFonts w:ascii="Arial" w:hAnsi="Arial" w:cs="Arial"/>
          <w:i/>
          <w:iCs/>
          <w:noProof/>
          <w:sz w:val="18"/>
        </w:rPr>
        <w:t>Research Design: Qualitative, Quantitative and Mixed Methods Approaches</w:t>
      </w:r>
      <w:r>
        <w:rPr>
          <w:rFonts w:ascii="Arial" w:hAnsi="Arial" w:cs="Arial"/>
          <w:noProof/>
          <w:sz w:val="18"/>
        </w:rPr>
        <w:t>. Thousand Oaks, CA: Sage.</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Goa, L. (2017). Perubahan Sosial Dalam Kehidupan Bermasyarakat. </w:t>
      </w:r>
      <w:r>
        <w:rPr>
          <w:rFonts w:ascii="Arial" w:hAnsi="Arial" w:cs="Arial"/>
          <w:i/>
          <w:iCs/>
          <w:noProof/>
          <w:sz w:val="18"/>
        </w:rPr>
        <w:t>SAPA - Jurnal Kateketik Dan Pastoral</w:t>
      </w:r>
      <w:r>
        <w:rPr>
          <w:rFonts w:ascii="Arial" w:hAnsi="Arial" w:cs="Arial"/>
          <w:noProof/>
          <w:sz w:val="18"/>
        </w:rPr>
        <w:t xml:space="preserve">, </w:t>
      </w:r>
      <w:r>
        <w:rPr>
          <w:rFonts w:ascii="Arial" w:hAnsi="Arial" w:cs="Arial"/>
          <w:i/>
          <w:iCs/>
          <w:noProof/>
          <w:sz w:val="18"/>
        </w:rPr>
        <w:t>2</w:t>
      </w:r>
      <w:r>
        <w:rPr>
          <w:rFonts w:ascii="Arial" w:hAnsi="Arial" w:cs="Arial"/>
          <w:noProof/>
          <w:sz w:val="18"/>
        </w:rPr>
        <w:t>(2), 53–67. https://doi.org/10.53544/sapa.v2i2.40</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Hatuwe, R. S. M., Tuasalamony, K., Masniati, A., &amp; Yusuf, S. (2021). Modernisasi terhadap Perubahan Sosial Masyarakat Desa Namlea Kabupaten Buru. </w:t>
      </w:r>
      <w:r>
        <w:rPr>
          <w:rFonts w:ascii="Arial" w:hAnsi="Arial" w:cs="Arial"/>
          <w:i/>
          <w:iCs/>
          <w:noProof/>
          <w:sz w:val="18"/>
        </w:rPr>
        <w:t>NUSANTARA: Jurnal Ilmu Pengetahuan Sosial</w:t>
      </w:r>
      <w:r>
        <w:rPr>
          <w:rFonts w:ascii="Arial" w:hAnsi="Arial" w:cs="Arial"/>
          <w:noProof/>
          <w:sz w:val="18"/>
        </w:rPr>
        <w:t xml:space="preserve">, </w:t>
      </w:r>
      <w:r>
        <w:rPr>
          <w:rFonts w:ascii="Arial" w:hAnsi="Arial" w:cs="Arial"/>
          <w:i/>
          <w:iCs/>
          <w:noProof/>
          <w:sz w:val="18"/>
        </w:rPr>
        <w:t>8</w:t>
      </w:r>
      <w:r>
        <w:rPr>
          <w:rFonts w:ascii="Arial" w:hAnsi="Arial" w:cs="Arial"/>
          <w:noProof/>
          <w:sz w:val="18"/>
        </w:rPr>
        <w:t>(1), 84–96. Retrieved from http://jurnal.um-tapsel.ac.id/index.php/nusantara/index</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Hidayati, V. (2024). </w:t>
      </w:r>
      <w:r>
        <w:rPr>
          <w:rFonts w:ascii="Arial" w:hAnsi="Arial" w:cs="Arial"/>
          <w:i/>
          <w:iCs/>
          <w:noProof/>
          <w:sz w:val="18"/>
        </w:rPr>
        <w:t>Umat Islam dan Modernitas : Menjaga Relevansi di Era Perubahan</w:t>
      </w:r>
      <w:r>
        <w:rPr>
          <w:rFonts w:ascii="Arial" w:hAnsi="Arial" w:cs="Arial"/>
          <w:noProof/>
          <w:sz w:val="18"/>
        </w:rPr>
        <w:t xml:space="preserve">. </w:t>
      </w:r>
      <w:r>
        <w:rPr>
          <w:rFonts w:ascii="Arial" w:hAnsi="Arial" w:cs="Arial"/>
          <w:i/>
          <w:iCs/>
          <w:noProof/>
          <w:sz w:val="18"/>
        </w:rPr>
        <w:t>1</w:t>
      </w:r>
      <w:r>
        <w:rPr>
          <w:rFonts w:ascii="Arial" w:hAnsi="Arial" w:cs="Arial"/>
          <w:noProof/>
          <w:sz w:val="18"/>
        </w:rPr>
        <w:t>.</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Johan, B., Husnah, F. M., Puteri, A. D., Hartami, H., Rahmah, A. A., &amp; Adnin, A. R. J. (2024). Tantangan dan Peluang Pendidikan Islam dalam Konteks Modern. </w:t>
      </w:r>
      <w:r>
        <w:rPr>
          <w:rFonts w:ascii="Arial" w:hAnsi="Arial" w:cs="Arial"/>
          <w:i/>
          <w:iCs/>
          <w:noProof/>
          <w:sz w:val="18"/>
        </w:rPr>
        <w:t>Jurnal Pendidikan Islam</w:t>
      </w:r>
      <w:r>
        <w:rPr>
          <w:rFonts w:ascii="Arial" w:hAnsi="Arial" w:cs="Arial"/>
          <w:noProof/>
          <w:sz w:val="18"/>
        </w:rPr>
        <w:t xml:space="preserve">, </w:t>
      </w:r>
      <w:r>
        <w:rPr>
          <w:rFonts w:ascii="Arial" w:hAnsi="Arial" w:cs="Arial"/>
          <w:i/>
          <w:iCs/>
          <w:noProof/>
          <w:sz w:val="18"/>
        </w:rPr>
        <w:t>1</w:t>
      </w:r>
      <w:r>
        <w:rPr>
          <w:rFonts w:ascii="Arial" w:hAnsi="Arial" w:cs="Arial"/>
          <w:noProof/>
          <w:sz w:val="18"/>
        </w:rPr>
        <w:t>(4), 13. https://doi.org/10.47134/pjpi.v1i4.758</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Kementerian Komunikasi dan Informatika Republik Indonesia. (2023). Laporan penggunaan media sosial di kalangan remaja Indonesia.</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Kurniawan, M. A. (2024). Islam dan Modernitas Menelusuri Hubungan Antara Tradisi dan Inovasi. </w:t>
      </w:r>
      <w:r>
        <w:rPr>
          <w:rFonts w:ascii="Arial" w:hAnsi="Arial" w:cs="Arial"/>
          <w:i/>
          <w:iCs/>
          <w:noProof/>
          <w:sz w:val="18"/>
        </w:rPr>
        <w:t>Al Akmal : Jurnal Studi Islam</w:t>
      </w:r>
      <w:r>
        <w:rPr>
          <w:rFonts w:ascii="Arial" w:hAnsi="Arial" w:cs="Arial"/>
          <w:noProof/>
          <w:sz w:val="18"/>
        </w:rPr>
        <w:t xml:space="preserve">, </w:t>
      </w:r>
      <w:r>
        <w:rPr>
          <w:rFonts w:ascii="Arial" w:hAnsi="Arial" w:cs="Arial"/>
          <w:i/>
          <w:iCs/>
          <w:noProof/>
          <w:sz w:val="18"/>
        </w:rPr>
        <w:t>3</w:t>
      </w:r>
      <w:r>
        <w:rPr>
          <w:rFonts w:ascii="Arial" w:hAnsi="Arial" w:cs="Arial"/>
          <w:noProof/>
          <w:sz w:val="18"/>
        </w:rPr>
        <w:t>(6). https://doi.org/10.47902/al-akmal.v3i6</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Lembaga Ilmu Pengetahuan Indonesia. (2023). Survei polarisasi pemikiran keagamaan di Indonesia.</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Makhrus. (2019). </w:t>
      </w:r>
      <w:r>
        <w:rPr>
          <w:rFonts w:ascii="Arial" w:hAnsi="Arial" w:cs="Arial"/>
          <w:i/>
          <w:iCs/>
          <w:noProof/>
          <w:sz w:val="18"/>
        </w:rPr>
        <w:t>Dinamika Hukum Islam Di Indonesia</w:t>
      </w:r>
      <w:r>
        <w:rPr>
          <w:rFonts w:ascii="Arial" w:hAnsi="Arial" w:cs="Arial"/>
          <w:noProof/>
          <w:sz w:val="18"/>
        </w:rPr>
        <w:t>. Yogyakarta: Ierpro Kreasindo. Retrieved from https://books.google.com/books?hl=en&amp;lr=&amp;id=c9CEDwAAQBAJ&amp;oi=fnd&amp;pg=PR5&amp;dq=hukum&amp;ots=RpD5AHr9WC&amp;sig=vUqRXa2scV59RHFYD3BP0koNBms</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Matondang, A. (2019). Dampak Modernisasi terhadap Kehidupan Sosial Masyarakat. </w:t>
      </w:r>
      <w:r>
        <w:rPr>
          <w:rFonts w:ascii="Arial" w:hAnsi="Arial" w:cs="Arial"/>
          <w:i/>
          <w:iCs/>
          <w:noProof/>
          <w:sz w:val="18"/>
        </w:rPr>
        <w:t>Wahana Inovasi</w:t>
      </w:r>
      <w:r>
        <w:rPr>
          <w:rFonts w:ascii="Arial" w:hAnsi="Arial" w:cs="Arial"/>
          <w:noProof/>
          <w:sz w:val="18"/>
        </w:rPr>
        <w:t xml:space="preserve">, </w:t>
      </w:r>
      <w:r>
        <w:rPr>
          <w:rFonts w:ascii="Arial" w:hAnsi="Arial" w:cs="Arial"/>
          <w:i/>
          <w:iCs/>
          <w:noProof/>
          <w:sz w:val="18"/>
        </w:rPr>
        <w:t>8</w:t>
      </w:r>
      <w:r>
        <w:rPr>
          <w:rFonts w:ascii="Arial" w:hAnsi="Arial" w:cs="Arial"/>
          <w:noProof/>
          <w:sz w:val="18"/>
        </w:rPr>
        <w:t>(2). Retrieved from http://scioteca.caf.com/bitstream/handle/123456789/1091/RED2017-Eng-8ene.pdf?sequence=12&amp;isAllowed=y%0Ahttp://dx.doi.org/10.1016/j.regsciurbeco.2008.06.005%0Ahttps://www.researchgate.net/publication/305320484_SISTEM_PEMBETUNGAN_TERPUSAT_STRATEGI_MELESTARI</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Niswi, A., Putri, N. A., Novika, R., &amp; Siregar, R. W. (2024). Pengaruh Modernisasi</w:t>
      </w:r>
      <w:r w:rsidR="000C2F88">
        <w:rPr>
          <w:rFonts w:ascii="Arial" w:hAnsi="Arial" w:cs="Arial"/>
          <w:noProof/>
          <w:sz w:val="18"/>
        </w:rPr>
        <w:t xml:space="preserve"> </w:t>
      </w:r>
      <w:r>
        <w:rPr>
          <w:rFonts w:ascii="Arial" w:hAnsi="Arial" w:cs="Arial"/>
          <w:noProof/>
          <w:sz w:val="18"/>
        </w:rPr>
        <w:t xml:space="preserve">Terhadap Dinamika Sosial Dan Agama. </w:t>
      </w:r>
      <w:r>
        <w:rPr>
          <w:rFonts w:ascii="Arial" w:hAnsi="Arial" w:cs="Arial"/>
          <w:i/>
          <w:iCs/>
          <w:noProof/>
          <w:sz w:val="18"/>
        </w:rPr>
        <w:t>Triwikrama: Jurnal Multidisiplin Ilmu Sosial</w:t>
      </w:r>
      <w:r>
        <w:rPr>
          <w:rFonts w:ascii="Arial" w:hAnsi="Arial" w:cs="Arial"/>
          <w:noProof/>
          <w:sz w:val="18"/>
        </w:rPr>
        <w:t xml:space="preserve">, </w:t>
      </w:r>
      <w:r>
        <w:rPr>
          <w:rFonts w:ascii="Arial" w:hAnsi="Arial" w:cs="Arial"/>
          <w:i/>
          <w:iCs/>
          <w:noProof/>
          <w:sz w:val="18"/>
        </w:rPr>
        <w:t>2</w:t>
      </w:r>
      <w:r>
        <w:rPr>
          <w:rFonts w:ascii="Arial" w:hAnsi="Arial" w:cs="Arial"/>
          <w:noProof/>
          <w:sz w:val="18"/>
        </w:rPr>
        <w:t>(11), 71–80.</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Nurlaela, F. (2024). Urgensi Pendidikan Aqidah Islam Dalam Menghadapi Tantangan Modernitas (Analisis Lapangan di SMK Muhammadiyah 4 Jakarta). </w:t>
      </w:r>
      <w:r>
        <w:rPr>
          <w:rFonts w:ascii="Arial" w:hAnsi="Arial" w:cs="Arial"/>
          <w:i/>
          <w:iCs/>
          <w:noProof/>
          <w:sz w:val="18"/>
        </w:rPr>
        <w:t>Innovative: Journal Of Social Science Research</w:t>
      </w:r>
      <w:r>
        <w:rPr>
          <w:rFonts w:ascii="Arial" w:hAnsi="Arial" w:cs="Arial"/>
          <w:noProof/>
          <w:sz w:val="18"/>
        </w:rPr>
        <w:t xml:space="preserve">, </w:t>
      </w:r>
      <w:r>
        <w:rPr>
          <w:rFonts w:ascii="Arial" w:hAnsi="Arial" w:cs="Arial"/>
          <w:i/>
          <w:iCs/>
          <w:noProof/>
          <w:sz w:val="18"/>
        </w:rPr>
        <w:t>4</w:t>
      </w:r>
      <w:r>
        <w:rPr>
          <w:rFonts w:ascii="Arial" w:hAnsi="Arial" w:cs="Arial"/>
          <w:noProof/>
          <w:sz w:val="18"/>
        </w:rPr>
        <w:t>, 5027–5037. Retrieved from http://j-innovative.org/index.php/Innovative/article/view/10928</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Pew Research Center. (2022). Religion and modernization in Indonesia.</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Rustandi, N. (2020). Agama Dan Perubahan Sosial Ekonomi. </w:t>
      </w:r>
      <w:r>
        <w:rPr>
          <w:rFonts w:ascii="Arial" w:hAnsi="Arial" w:cs="Arial"/>
          <w:i/>
          <w:iCs/>
          <w:noProof/>
          <w:sz w:val="18"/>
        </w:rPr>
        <w:t>Tsaqofah</w:t>
      </w:r>
      <w:r>
        <w:rPr>
          <w:rFonts w:ascii="Arial" w:hAnsi="Arial" w:cs="Arial"/>
          <w:noProof/>
          <w:sz w:val="18"/>
        </w:rPr>
        <w:t xml:space="preserve">, </w:t>
      </w:r>
      <w:r>
        <w:rPr>
          <w:rFonts w:ascii="Arial" w:hAnsi="Arial" w:cs="Arial"/>
          <w:i/>
          <w:iCs/>
          <w:noProof/>
          <w:sz w:val="18"/>
        </w:rPr>
        <w:t>18</w:t>
      </w:r>
      <w:r>
        <w:rPr>
          <w:rFonts w:ascii="Arial" w:hAnsi="Arial" w:cs="Arial"/>
          <w:noProof/>
          <w:sz w:val="18"/>
        </w:rPr>
        <w:t>(02), 185. https://doi.org/10.32678/tsaqofah.v18i02.3655</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Saputra, H. (2018). Pemikiran Filsuf Barat Dan Islam Terhadap Konsep Dinamika Gerak. </w:t>
      </w:r>
      <w:r>
        <w:rPr>
          <w:rFonts w:ascii="Arial" w:hAnsi="Arial" w:cs="Arial"/>
          <w:i/>
          <w:iCs/>
          <w:noProof/>
          <w:sz w:val="18"/>
        </w:rPr>
        <w:t>Jurnal Filsafat Indonesia</w:t>
      </w:r>
      <w:r>
        <w:rPr>
          <w:rFonts w:ascii="Arial" w:hAnsi="Arial" w:cs="Arial"/>
          <w:noProof/>
          <w:sz w:val="18"/>
        </w:rPr>
        <w:t xml:space="preserve">, </w:t>
      </w:r>
      <w:r>
        <w:rPr>
          <w:rFonts w:ascii="Arial" w:hAnsi="Arial" w:cs="Arial"/>
          <w:i/>
          <w:iCs/>
          <w:noProof/>
          <w:sz w:val="18"/>
        </w:rPr>
        <w:t>1</w:t>
      </w:r>
      <w:r>
        <w:rPr>
          <w:rFonts w:ascii="Arial" w:hAnsi="Arial" w:cs="Arial"/>
          <w:noProof/>
          <w:sz w:val="18"/>
        </w:rPr>
        <w:t>(2), 57. https://doi.org/10.23887/jfi.v1i2.13990</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Soekanto, S. (2015). </w:t>
      </w:r>
      <w:r>
        <w:rPr>
          <w:rFonts w:ascii="Arial" w:hAnsi="Arial" w:cs="Arial"/>
          <w:i/>
          <w:iCs/>
          <w:noProof/>
          <w:sz w:val="18"/>
        </w:rPr>
        <w:t>Sosiologi: Suatu Pengantar</w:t>
      </w:r>
      <w:r>
        <w:rPr>
          <w:rFonts w:ascii="Arial" w:hAnsi="Arial" w:cs="Arial"/>
          <w:noProof/>
          <w:sz w:val="18"/>
        </w:rPr>
        <w:t>. Jakarta: PT. Rajawali Pers.</w:t>
      </w:r>
    </w:p>
    <w:p w:rsidR="00761C3A" w:rsidRDefault="00E85B7D">
      <w:pPr>
        <w:widowControl w:val="0"/>
        <w:autoSpaceDE w:val="0"/>
        <w:autoSpaceDN w:val="0"/>
        <w:adjustRightInd w:val="0"/>
        <w:spacing w:after="0" w:line="240" w:lineRule="auto"/>
        <w:ind w:left="480" w:hanging="480"/>
        <w:jc w:val="both"/>
        <w:rPr>
          <w:rFonts w:ascii="Arial" w:hAnsi="Arial" w:cs="Arial"/>
          <w:noProof/>
          <w:sz w:val="18"/>
        </w:rPr>
      </w:pPr>
      <w:r>
        <w:rPr>
          <w:rFonts w:ascii="Arial" w:hAnsi="Arial" w:cs="Arial"/>
          <w:noProof/>
          <w:sz w:val="18"/>
        </w:rPr>
        <w:t xml:space="preserve">Subhan, A. (2012). </w:t>
      </w:r>
      <w:r>
        <w:rPr>
          <w:rFonts w:ascii="Arial" w:hAnsi="Arial" w:cs="Arial"/>
          <w:i/>
          <w:iCs/>
          <w:noProof/>
          <w:sz w:val="18"/>
        </w:rPr>
        <w:t>Lembaga Pendidikan Islam Indonesia Abad Ke-20: Pergumulan Antara Modernisasi dan Identitas</w:t>
      </w:r>
      <w:r>
        <w:rPr>
          <w:rFonts w:ascii="Arial" w:hAnsi="Arial" w:cs="Arial"/>
          <w:noProof/>
          <w:sz w:val="18"/>
        </w:rPr>
        <w:t>. Jakarta: Kencana.</w:t>
      </w:r>
    </w:p>
    <w:p w:rsidR="00761C3A" w:rsidRDefault="00E85B7D">
      <w:pPr>
        <w:widowControl w:val="0"/>
        <w:pBdr>
          <w:top w:val="nil"/>
          <w:left w:val="nil"/>
          <w:bottom w:val="nil"/>
          <w:right w:val="nil"/>
          <w:between w:val="nil"/>
        </w:pBdr>
        <w:spacing w:after="0"/>
        <w:ind w:hanging="480"/>
        <w:jc w:val="both"/>
        <w:rPr>
          <w:rFonts w:ascii="Arial" w:eastAsia="Arial" w:hAnsi="Arial" w:cs="Arial"/>
          <w:color w:val="000000"/>
          <w:sz w:val="18"/>
          <w:szCs w:val="18"/>
          <w:lang w:val="de-LU"/>
        </w:rPr>
      </w:pPr>
      <w:r>
        <w:rPr>
          <w:rFonts w:ascii="Arial" w:eastAsia="Arial" w:hAnsi="Arial" w:cs="Arial"/>
          <w:color w:val="000000"/>
          <w:sz w:val="18"/>
          <w:szCs w:val="18"/>
          <w:lang w:val="de-LU"/>
        </w:rPr>
        <w:fldChar w:fldCharType="end"/>
      </w:r>
    </w:p>
    <w:p w:rsidR="00761C3A" w:rsidRDefault="00761C3A">
      <w:pPr>
        <w:widowControl w:val="0"/>
        <w:pBdr>
          <w:top w:val="nil"/>
          <w:left w:val="nil"/>
          <w:bottom w:val="nil"/>
          <w:right w:val="nil"/>
          <w:between w:val="nil"/>
        </w:pBdr>
        <w:spacing w:after="0"/>
        <w:ind w:hanging="480"/>
        <w:jc w:val="both"/>
        <w:rPr>
          <w:rFonts w:ascii="Arial" w:eastAsia="Arial" w:hAnsi="Arial" w:cs="Arial"/>
          <w:color w:val="000000"/>
          <w:sz w:val="18"/>
          <w:szCs w:val="18"/>
          <w:lang w:val="de-LU"/>
        </w:rPr>
      </w:pPr>
    </w:p>
    <w:p w:rsidR="00761C3A" w:rsidRDefault="00E85B7D">
      <w:pPr>
        <w:widowControl w:val="0"/>
        <w:pBdr>
          <w:top w:val="nil"/>
          <w:left w:val="nil"/>
          <w:bottom w:val="nil"/>
          <w:right w:val="nil"/>
          <w:between w:val="nil"/>
        </w:pBdr>
        <w:spacing w:after="0"/>
        <w:ind w:hanging="480"/>
        <w:jc w:val="both"/>
        <w:rPr>
          <w:rFonts w:ascii="Arial" w:eastAsia="Arial" w:hAnsi="Arial" w:cs="Arial"/>
          <w:color w:val="000000"/>
          <w:sz w:val="18"/>
          <w:szCs w:val="18"/>
          <w:lang w:val="de-LU"/>
        </w:rPr>
      </w:pPr>
      <w:r>
        <w:rPr>
          <w:rFonts w:ascii="Arial" w:eastAsia="Arial" w:hAnsi="Arial" w:cs="Arial"/>
          <w:color w:val="000000"/>
          <w:sz w:val="18"/>
          <w:szCs w:val="18"/>
          <w:lang w:val="de-LU"/>
        </w:rPr>
        <w:t xml:space="preserve"> </w:t>
      </w:r>
    </w:p>
    <w:tbl>
      <w:tblPr>
        <w:tblStyle w:val="a3"/>
        <w:tblW w:w="8909" w:type="dxa"/>
        <w:jc w:val="center"/>
        <w:tblLayout w:type="fixed"/>
        <w:tblLook w:val="0400" w:firstRow="0" w:lastRow="0" w:firstColumn="0" w:lastColumn="0" w:noHBand="0" w:noVBand="1"/>
      </w:tblPr>
      <w:tblGrid>
        <w:gridCol w:w="1760"/>
        <w:gridCol w:w="7149"/>
      </w:tblGrid>
      <w:tr w:rsidR="00761C3A">
        <w:trPr>
          <w:jc w:val="center"/>
        </w:trPr>
        <w:tc>
          <w:tcPr>
            <w:tcW w:w="1760" w:type="dxa"/>
            <w:shd w:val="clear" w:color="auto" w:fill="auto"/>
            <w:vAlign w:val="center"/>
          </w:tcPr>
          <w:p w:rsidR="00761C3A" w:rsidRDefault="00E85B7D">
            <w:pPr>
              <w:widowControl w:val="0"/>
              <w:pBdr>
                <w:top w:val="nil"/>
                <w:left w:val="nil"/>
                <w:bottom w:val="nil"/>
                <w:right w:val="nil"/>
                <w:between w:val="nil"/>
              </w:pBdr>
              <w:spacing w:after="0"/>
              <w:ind w:left="447" w:hanging="480"/>
              <w:jc w:val="both"/>
              <w:rPr>
                <w:rFonts w:ascii="Arial" w:eastAsia="Arial" w:hAnsi="Arial" w:cs="Arial"/>
                <w:color w:val="000000"/>
                <w:sz w:val="18"/>
                <w:szCs w:val="18"/>
              </w:rPr>
            </w:pPr>
            <w:r>
              <w:rPr>
                <w:rFonts w:ascii="Arial" w:eastAsia="Arial" w:hAnsi="Arial" w:cs="Arial"/>
                <w:noProof/>
                <w:color w:val="000000"/>
                <w:sz w:val="18"/>
                <w:szCs w:val="18"/>
                <w:lang w:eastAsia="en-US"/>
              </w:rPr>
              <w:drawing>
                <wp:inline distT="0" distB="0" distL="0" distR="0">
                  <wp:extent cx="990826" cy="352794"/>
                  <wp:effectExtent l="0" t="0" r="0" b="0"/>
                  <wp:docPr id="1026" name="image2.png" descr="Lisensi Creative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2" cstate="print"/>
                          <a:srcRect/>
                          <a:stretch/>
                        </pic:blipFill>
                        <pic:spPr>
                          <a:xfrm>
                            <a:off x="0" y="0"/>
                            <a:ext cx="990826" cy="352794"/>
                          </a:xfrm>
                          <a:prstGeom prst="rect">
                            <a:avLst/>
                          </a:prstGeom>
                          <a:ln w="9525" cap="flat" cmpd="sng">
                            <a:solidFill>
                              <a:srgbClr val="000000"/>
                            </a:solidFill>
                            <a:prstDash val="solid"/>
                            <a:round/>
                            <a:headEnd/>
                            <a:tailEnd/>
                          </a:ln>
                        </pic:spPr>
                      </pic:pic>
                    </a:graphicData>
                  </a:graphic>
                </wp:inline>
              </w:drawing>
            </w:r>
          </w:p>
        </w:tc>
        <w:tc>
          <w:tcPr>
            <w:tcW w:w="7149" w:type="dxa"/>
            <w:shd w:val="clear" w:color="auto" w:fill="auto"/>
            <w:vAlign w:val="center"/>
          </w:tcPr>
          <w:p w:rsidR="00761C3A" w:rsidRDefault="00E85B7D">
            <w:pPr>
              <w:widowControl w:val="0"/>
              <w:pBdr>
                <w:top w:val="nil"/>
                <w:left w:val="nil"/>
                <w:bottom w:val="nil"/>
                <w:right w:val="nil"/>
                <w:between w:val="nil"/>
              </w:pBdr>
              <w:spacing w:after="0"/>
              <w:ind w:left="393" w:hanging="480"/>
              <w:jc w:val="both"/>
              <w:rPr>
                <w:rFonts w:ascii="Arial" w:eastAsia="Arial" w:hAnsi="Arial" w:cs="Arial"/>
                <w:color w:val="000000"/>
                <w:sz w:val="18"/>
                <w:szCs w:val="18"/>
              </w:rPr>
            </w:pPr>
            <w:r>
              <w:rPr>
                <w:rFonts w:ascii="Arial" w:eastAsia="Arial" w:hAnsi="Arial" w:cs="Arial"/>
                <w:color w:val="000000"/>
                <w:sz w:val="18"/>
                <w:szCs w:val="18"/>
              </w:rPr>
              <w:t>© 202</w:t>
            </w:r>
            <w:r w:rsidR="00A03DEE">
              <w:rPr>
                <w:rFonts w:ascii="Arial" w:eastAsia="Arial" w:hAnsi="Arial" w:cs="Arial"/>
                <w:color w:val="000000"/>
                <w:sz w:val="18"/>
                <w:szCs w:val="18"/>
              </w:rPr>
              <w:t>5</w:t>
            </w:r>
            <w:r>
              <w:rPr>
                <w:rFonts w:ascii="Arial" w:eastAsia="Arial" w:hAnsi="Arial" w:cs="Arial"/>
                <w:color w:val="000000"/>
                <w:sz w:val="18"/>
                <w:szCs w:val="18"/>
              </w:rPr>
              <w:t xml:space="preserve"> by the authors. Submitted for possible open access publication under the terms and conditions of the Creative Commons Attribution (CC BY SA) license (https://creativecommons.org/licenses/by-sa/3.0/).</w:t>
            </w:r>
          </w:p>
        </w:tc>
      </w:tr>
    </w:tbl>
    <w:p w:rsidR="00761C3A" w:rsidRDefault="00761C3A">
      <w:pPr>
        <w:rPr>
          <w:rFonts w:ascii="Arial" w:eastAsia="Arial" w:hAnsi="Arial" w:cs="Arial"/>
        </w:rPr>
      </w:pPr>
    </w:p>
    <w:sectPr w:rsidR="00761C3A" w:rsidSect="0044342A">
      <w:headerReference w:type="default" r:id="rId13"/>
      <w:footerReference w:type="default" r:id="rId14"/>
      <w:headerReference w:type="first" r:id="rId15"/>
      <w:footerReference w:type="first" r:id="rId16"/>
      <w:pgSz w:w="11906" w:h="16838"/>
      <w:pgMar w:top="1701" w:right="1701" w:bottom="1701" w:left="1701" w:header="425" w:footer="709"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236B" w:rsidRDefault="0009236B">
      <w:pPr>
        <w:spacing w:after="0" w:line="240" w:lineRule="auto"/>
      </w:pPr>
      <w:r>
        <w:separator/>
      </w:r>
    </w:p>
  </w:endnote>
  <w:endnote w:type="continuationSeparator" w:id="0">
    <w:p w:rsidR="0009236B" w:rsidRDefault="0009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A5020D64-61C6-7C4D-9C9A-5F32876602CE}"/>
  </w:font>
  <w:font w:name="Times New Roman">
    <w:panose1 w:val="02020603050405020304"/>
    <w:charset w:val="00"/>
    <w:family w:val="roman"/>
    <w:pitch w:val="variable"/>
    <w:sig w:usb0="E0002EFF" w:usb1="C000785B" w:usb2="00000009" w:usb3="00000000" w:csb0="000001FF" w:csb1="00000000"/>
    <w:embedRegular r:id="rId2" w:fontKey="{008C955C-B953-434A-804D-63FA32C10445}"/>
    <w:embedBold r:id="rId3" w:fontKey="{4948F52C-C983-CE4C-93AA-18487088053A}"/>
    <w:embedItalic r:id="rId4" w:fontKey="{02019012-6DC3-3B43-8D22-A1CA715118EF}"/>
  </w:font>
  <w:font w:name="Courier New">
    <w:panose1 w:val="02070309020205020404"/>
    <w:charset w:val="00"/>
    <w:family w:val="modern"/>
    <w:pitch w:val="fixed"/>
    <w:sig w:usb0="E0002EFF" w:usb1="C0007843" w:usb2="00000009" w:usb3="00000000" w:csb0="000001FF" w:csb1="00000000"/>
    <w:embedRegular r:id="rId5" w:fontKey="{CFD7BAF3-AC6B-0246-8CA4-95E6714B7EA4}"/>
  </w:font>
  <w:font w:name="Wingdings">
    <w:panose1 w:val="05000000000000000000"/>
    <w:charset w:val="4D"/>
    <w:family w:val="decorative"/>
    <w:pitch w:val="variable"/>
    <w:sig w:usb0="00000003" w:usb1="00000000" w:usb2="00000000" w:usb3="00000000" w:csb0="80000001" w:csb1="00000000"/>
    <w:embedRegular r:id="rId6" w:fontKey="{2D7508BD-DC87-0349-8495-0B6D1A307AE3}"/>
  </w:font>
  <w:font w:name="Arial">
    <w:panose1 w:val="020B0604020202020204"/>
    <w:charset w:val="00"/>
    <w:family w:val="swiss"/>
    <w:pitch w:val="variable"/>
    <w:sig w:usb0="E0002EFF" w:usb1="C000785B" w:usb2="00000009" w:usb3="00000000" w:csb0="000001FF" w:csb1="00000000"/>
    <w:embedRegular r:id="rId7" w:fontKey="{52D512AB-1670-624F-9D88-B6402512FAFE}"/>
    <w:embedBold r:id="rId8" w:fontKey="{4E147F5B-3318-934A-B13E-BC46544FA5BE}"/>
    <w:embedItalic r:id="rId9" w:fontKey="{065C3F10-4154-1946-91D0-685A76242307}"/>
    <w:embedBoldItalic r:id="rId10" w:fontKey="{90A1992D-8762-5547-8A2D-E9EFE7FBABEB}"/>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2" w:fontKey="{4EE97350-01F8-D743-9931-E1EB869182C0}"/>
    <w:embedBold r:id="rId13" w:fontKey="{543C6F2D-10E7-E241-84D1-3A1A53480377}"/>
    <w:embedItalic r:id="rId14" w:fontKey="{2CA67E2B-DC70-D840-B3EB-5AB96E874014}"/>
  </w:font>
  <w:font w:name="Palatino Linotype">
    <w:panose1 w:val="02040502050505030304"/>
    <w:charset w:val="00"/>
    <w:family w:val="roman"/>
    <w:pitch w:val="variable"/>
    <w:sig w:usb0="E0000287" w:usb1="40000013" w:usb2="00000000" w:usb3="00000000" w:csb0="0000019F" w:csb1="00000000"/>
    <w:embedRegular r:id="rId15" w:fontKey="{A864D68D-FAFE-3345-B4B7-2CE26E5E2509}"/>
    <w:embedBold r:id="rId16" w:fontKey="{DD6B2375-52D5-1C47-A25A-004A69946E4F}"/>
    <w:embedItalic r:id="rId17" w:fontKey="{17787B2A-2B8D-0D41-A5E5-4D82CEC50EB3}"/>
  </w:font>
  <w:font w:name="Segoe UI">
    <w:panose1 w:val="020B0502040204020203"/>
    <w:charset w:val="00"/>
    <w:family w:val="swiss"/>
    <w:pitch w:val="variable"/>
    <w:sig w:usb0="E4002EFF" w:usb1="C000E47F" w:usb2="00000009" w:usb3="00000000" w:csb0="000001FF" w:csb1="00000000"/>
    <w:embedRegular r:id="rId18" w:fontKey="{F13D13C5-215C-5C49-804F-E561DDFA2091}"/>
  </w:font>
  <w:font w:name="Georgia">
    <w:panose1 w:val="02040502050405020303"/>
    <w:charset w:val="00"/>
    <w:family w:val="roman"/>
    <w:pitch w:val="variable"/>
    <w:sig w:usb0="00000287" w:usb1="00000000" w:usb2="00000000" w:usb3="00000000" w:csb0="0000009F" w:csb1="00000000"/>
    <w:embedRegular r:id="rId19" w:fontKey="{B31C8CC1-BEAB-AB40-AC39-4C1F552A55DB}"/>
    <w:embedItalic r:id="rId20" w:fontKey="{D5E75C31-FD77-8E45-8285-E8F3C3270564}"/>
  </w:font>
  <w:font w:name="Book Antiqua">
    <w:panose1 w:val="02040602050305030304"/>
    <w:charset w:val="00"/>
    <w:family w:val="roman"/>
    <w:pitch w:val="variable"/>
    <w:sig w:usb0="00000287" w:usb1="00000000" w:usb2="00000000" w:usb3="00000000" w:csb0="0000009F" w:csb1="00000000"/>
    <w:embedRegular r:id="rId21" w:fontKey="{878DE294-A0A4-764B-AC99-5CC644EE66C7}"/>
  </w:font>
  <w:font w:name="Cambria">
    <w:panose1 w:val="02040503050406030204"/>
    <w:charset w:val="00"/>
    <w:family w:val="roman"/>
    <w:pitch w:val="variable"/>
    <w:sig w:usb0="E00006FF" w:usb1="420024FF" w:usb2="02000000" w:usb3="00000000" w:csb0="0000019F" w:csb1="00000000"/>
    <w:embedRegular r:id="rId22" w:fontKey="{B0584D25-51EF-9F42-9DF1-8ABF0BF454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342A" w:rsidRPr="00A51796" w:rsidRDefault="00A51796" w:rsidP="00A51796">
    <w:pPr>
      <w:pBdr>
        <w:top w:val="nil"/>
        <w:left w:val="nil"/>
        <w:bottom w:val="nil"/>
        <w:right w:val="nil"/>
        <w:between w:val="nil"/>
      </w:pBdr>
      <w:spacing w:after="120"/>
      <w:rPr>
        <w:rFonts w:ascii="Arial" w:eastAsia="Arial" w:hAnsi="Arial" w:cs="Arial"/>
        <w:b/>
        <w:color w:val="000000"/>
        <w:sz w:val="20"/>
        <w:szCs w:val="20"/>
        <w:lang w:val="de-LU"/>
      </w:rPr>
    </w:pPr>
    <w:r w:rsidRPr="00A51796">
      <w:rPr>
        <w:rFonts w:ascii="Palatino Linotype" w:eastAsia="Arial" w:hAnsi="Palatino Linotype" w:cs="Arial"/>
        <w:bCs/>
        <w:i/>
        <w:iCs/>
        <w:color w:val="000000"/>
        <w:sz w:val="16"/>
        <w:szCs w:val="16"/>
        <w:lang w:val="de-LU"/>
      </w:rPr>
      <w:t>Alwin</w:t>
    </w:r>
    <w:r>
      <w:rPr>
        <w:rFonts w:ascii="Palatino Linotype" w:eastAsia="Arial" w:hAnsi="Palatino Linotype" w:cs="Arial"/>
        <w:bCs/>
        <w:i/>
        <w:iCs/>
        <w:color w:val="000000"/>
        <w:sz w:val="16"/>
        <w:szCs w:val="16"/>
        <w:lang w:val="de-LU"/>
      </w:rPr>
      <w:t xml:space="preserve">, </w:t>
    </w:r>
    <w:r w:rsidRPr="00A51796">
      <w:rPr>
        <w:rFonts w:ascii="Palatino Linotype" w:eastAsia="Arial" w:hAnsi="Palatino Linotype" w:cs="Arial"/>
        <w:bCs/>
        <w:i/>
        <w:iCs/>
        <w:color w:val="000000"/>
        <w:sz w:val="16"/>
        <w:szCs w:val="16"/>
        <w:lang w:val="de-LU"/>
      </w:rPr>
      <w:t xml:space="preserve"> Malta </w:t>
    </w:r>
    <w:proofErr w:type="spellStart"/>
    <w:r w:rsidRPr="00A51796">
      <w:rPr>
        <w:rFonts w:ascii="Palatino Linotype" w:eastAsia="Arial" w:hAnsi="Palatino Linotype" w:cs="Arial"/>
        <w:bCs/>
        <w:i/>
        <w:iCs/>
        <w:color w:val="000000"/>
        <w:sz w:val="16"/>
        <w:szCs w:val="16"/>
        <w:lang w:val="de-LU"/>
      </w:rPr>
      <w:t>Anantyasari</w:t>
    </w:r>
    <w:proofErr w:type="spellEnd"/>
    <w:r w:rsidR="00E85B7D">
      <w:rPr>
        <w:rFonts w:ascii="Palatino Linotype" w:eastAsia="Palatino Linotype" w:hAnsi="Palatino Linotype" w:cs="Palatino Linotype"/>
        <w:i/>
        <w:color w:val="000000"/>
        <w:sz w:val="16"/>
        <w:szCs w:val="16"/>
      </w:rPr>
      <w:t>/</w:t>
    </w:r>
    <w:proofErr w:type="spellStart"/>
    <w:r w:rsidR="0044342A" w:rsidRPr="0044342A">
      <w:rPr>
        <w:rFonts w:ascii="Palatino Linotype" w:eastAsia="Arial" w:hAnsi="Palatino Linotype" w:cs="Arial"/>
        <w:i/>
        <w:iCs/>
        <w:color w:val="000000"/>
        <w:sz w:val="16"/>
        <w:szCs w:val="16"/>
        <w:lang w:val="de-LU"/>
      </w:rPr>
      <w:t>Navigating</w:t>
    </w:r>
    <w:proofErr w:type="spellEnd"/>
    <w:r w:rsidR="0044342A" w:rsidRPr="0044342A">
      <w:rPr>
        <w:rFonts w:ascii="Palatino Linotype" w:eastAsia="Arial" w:hAnsi="Palatino Linotype" w:cs="Arial"/>
        <w:i/>
        <w:iCs/>
        <w:color w:val="000000"/>
        <w:sz w:val="16"/>
        <w:szCs w:val="16"/>
        <w:lang w:val="de-LU"/>
      </w:rPr>
      <w:t xml:space="preserve"> </w:t>
    </w:r>
    <w:proofErr w:type="spellStart"/>
    <w:r w:rsidR="0044342A" w:rsidRPr="0044342A">
      <w:rPr>
        <w:rFonts w:ascii="Palatino Linotype" w:eastAsia="Arial" w:hAnsi="Palatino Linotype" w:cs="Arial"/>
        <w:i/>
        <w:iCs/>
        <w:color w:val="000000"/>
        <w:sz w:val="16"/>
        <w:szCs w:val="16"/>
        <w:lang w:val="de-LU"/>
      </w:rPr>
      <w:t>Modernization</w:t>
    </w:r>
    <w:proofErr w:type="spellEnd"/>
    <w:r w:rsidR="0044342A" w:rsidRPr="0044342A">
      <w:rPr>
        <w:rFonts w:ascii="Palatino Linotype" w:eastAsia="Arial" w:hAnsi="Palatino Linotype" w:cs="Arial"/>
        <w:i/>
        <w:iCs/>
        <w:color w:val="000000"/>
        <w:sz w:val="16"/>
        <w:szCs w:val="16"/>
        <w:lang w:val="de-LU"/>
      </w:rPr>
      <w:t xml:space="preserve">: Challenges and </w:t>
    </w:r>
    <w:proofErr w:type="spellStart"/>
    <w:r w:rsidR="0044342A" w:rsidRPr="0044342A">
      <w:rPr>
        <w:rFonts w:ascii="Palatino Linotype" w:eastAsia="Arial" w:hAnsi="Palatino Linotype" w:cs="Arial"/>
        <w:i/>
        <w:iCs/>
        <w:color w:val="000000"/>
        <w:sz w:val="16"/>
        <w:szCs w:val="16"/>
        <w:lang w:val="de-LU"/>
      </w:rPr>
      <w:t>Strategies</w:t>
    </w:r>
    <w:proofErr w:type="spellEnd"/>
    <w:r w:rsidR="0044342A" w:rsidRPr="0044342A">
      <w:rPr>
        <w:rFonts w:ascii="Palatino Linotype" w:eastAsia="Arial" w:hAnsi="Palatino Linotype" w:cs="Arial"/>
        <w:i/>
        <w:iCs/>
        <w:color w:val="000000"/>
        <w:sz w:val="16"/>
        <w:szCs w:val="16"/>
        <w:lang w:val="de-LU"/>
      </w:rPr>
      <w:t xml:space="preserve"> </w:t>
    </w:r>
    <w:proofErr w:type="spellStart"/>
    <w:r w:rsidR="0044342A" w:rsidRPr="0044342A">
      <w:rPr>
        <w:rFonts w:ascii="Palatino Linotype" w:eastAsia="Arial" w:hAnsi="Palatino Linotype" w:cs="Arial"/>
        <w:i/>
        <w:iCs/>
        <w:color w:val="000000"/>
        <w:sz w:val="16"/>
        <w:szCs w:val="16"/>
        <w:lang w:val="de-LU"/>
      </w:rPr>
      <w:t>for</w:t>
    </w:r>
    <w:proofErr w:type="spellEnd"/>
    <w:r w:rsidR="0044342A" w:rsidRPr="0044342A">
      <w:rPr>
        <w:rFonts w:ascii="Palatino Linotype" w:eastAsia="Arial" w:hAnsi="Palatino Linotype" w:cs="Arial"/>
        <w:i/>
        <w:iCs/>
        <w:color w:val="000000"/>
        <w:sz w:val="16"/>
        <w:szCs w:val="16"/>
        <w:lang w:val="de-LU"/>
      </w:rPr>
      <w:t xml:space="preserve"> Muslim Society in Indonesia</w:t>
    </w:r>
    <w:r w:rsidR="00CE719A">
      <w:rPr>
        <w:rFonts w:ascii="Palatino Linotype" w:eastAsia="Arial" w:hAnsi="Palatino Linotype" w:cs="Arial"/>
        <w:i/>
        <w:iCs/>
        <w:color w:val="000000"/>
        <w:sz w:val="16"/>
        <w:szCs w:val="16"/>
        <w:lang w:val="de-LU"/>
      </w:rPr>
      <w:t>…..</w:t>
    </w:r>
  </w:p>
  <w:p w:rsidR="00761C3A" w:rsidRDefault="00761C3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1C3A" w:rsidRDefault="00E85B7D">
    <w:pPr>
      <w:tabs>
        <w:tab w:val="right" w:pos="8844"/>
      </w:tabs>
      <w:spacing w:before="120" w:line="240" w:lineRule="auto"/>
      <w:rPr>
        <w:rFonts w:ascii="Palatino Linotype" w:eastAsia="Palatino Linotype" w:hAnsi="Palatino Linotype" w:cs="Palatino Linotype"/>
        <w:sz w:val="16"/>
        <w:szCs w:val="16"/>
      </w:rPr>
    </w:pPr>
    <w:proofErr w:type="gramStart"/>
    <w:r>
      <w:rPr>
        <w:rFonts w:ascii="Palatino Linotype" w:eastAsia="Palatino Linotype" w:hAnsi="Palatino Linotype" w:cs="Palatino Linotype"/>
        <w:i/>
        <w:sz w:val="16"/>
        <w:szCs w:val="16"/>
      </w:rPr>
      <w:t>DOI :</w:t>
    </w:r>
    <w:proofErr w:type="gramEnd"/>
    <w:r>
      <w:rPr>
        <w:rFonts w:ascii="Palatino Linotype" w:eastAsia="Palatino Linotype" w:hAnsi="Palatino Linotype" w:cs="Palatino Linotype"/>
        <w:i/>
        <w:sz w:val="16"/>
        <w:szCs w:val="16"/>
      </w:rPr>
      <w:t xml:space="preserve"> </w:t>
    </w:r>
    <w:r w:rsidR="00A51796" w:rsidRPr="00A51796">
      <w:rPr>
        <w:rFonts w:ascii="Palatino Linotype" w:eastAsia="Palatino Linotype" w:hAnsi="Palatino Linotype" w:cs="Palatino Linotype"/>
        <w:i/>
        <w:sz w:val="16"/>
        <w:szCs w:val="16"/>
      </w:rPr>
      <w:t>10.20414/komunitas.v16i1.13388</w:t>
    </w:r>
    <w:r>
      <w:rPr>
        <w:rFonts w:ascii="Palatino Linotype" w:eastAsia="Palatino Linotype" w:hAnsi="Palatino Linotype" w:cs="Palatino Linotype"/>
        <w:sz w:val="16"/>
        <w:szCs w:val="16"/>
      </w:rPr>
      <w:tab/>
      <w:t>https://journal.uinmataram.ac.id/index.php/komunitas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236B" w:rsidRDefault="0009236B">
      <w:pPr>
        <w:spacing w:after="0" w:line="240" w:lineRule="auto"/>
      </w:pPr>
      <w:r>
        <w:separator/>
      </w:r>
    </w:p>
  </w:footnote>
  <w:footnote w:type="continuationSeparator" w:id="0">
    <w:p w:rsidR="0009236B" w:rsidRDefault="00092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1C3A" w:rsidRDefault="00E85B7D">
    <w:pPr>
      <w:tabs>
        <w:tab w:val="right" w:pos="8844"/>
      </w:tabs>
      <w:spacing w:after="24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Komunitas: </w:t>
    </w:r>
    <w:proofErr w:type="spellStart"/>
    <w:r>
      <w:rPr>
        <w:rFonts w:ascii="Palatino Linotype" w:eastAsia="Palatino Linotype" w:hAnsi="Palatino Linotype" w:cs="Palatino Linotype"/>
        <w:i/>
        <w:sz w:val="16"/>
        <w:szCs w:val="16"/>
      </w:rPr>
      <w:t>Jurnal</w:t>
    </w:r>
    <w:proofErr w:type="spellEnd"/>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Pengembangan</w:t>
    </w:r>
    <w:proofErr w:type="spellEnd"/>
    <w:r>
      <w:rPr>
        <w:rFonts w:ascii="Palatino Linotype" w:eastAsia="Palatino Linotype" w:hAnsi="Palatino Linotype" w:cs="Palatino Linotype"/>
        <w:i/>
        <w:sz w:val="16"/>
        <w:szCs w:val="16"/>
      </w:rPr>
      <w:t xml:space="preserve"> Masyarakat Islam</w:t>
    </w:r>
    <w:r w:rsidR="00CE719A">
      <w:rPr>
        <w:rFonts w:ascii="Palatino Linotype" w:eastAsia="Palatino Linotype" w:hAnsi="Palatino Linotype" w:cs="Palatino Linotype"/>
        <w:i/>
        <w:sz w:val="16"/>
        <w:szCs w:val="16"/>
      </w:rPr>
      <w:t xml:space="preserve"> 16</w:t>
    </w:r>
    <w:r>
      <w:rPr>
        <w:rFonts w:ascii="Palatino Linotype" w:eastAsia="Palatino Linotype" w:hAnsi="Palatino Linotype" w:cs="Palatino Linotype"/>
        <w:i/>
        <w:sz w:val="16"/>
        <w:szCs w:val="16"/>
      </w:rPr>
      <w:t xml:space="preserve">, </w:t>
    </w:r>
    <w:r w:rsidR="00CE719A">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 xml:space="preserve"> (</w:t>
    </w:r>
    <w:r w:rsidR="00CE719A">
      <w:rPr>
        <w:rFonts w:ascii="Palatino Linotype" w:eastAsia="Palatino Linotype" w:hAnsi="Palatino Linotype" w:cs="Palatino Linotype"/>
        <w:i/>
        <w:sz w:val="16"/>
        <w:szCs w:val="16"/>
      </w:rPr>
      <w:t>2025</w:t>
    </w:r>
    <w:r>
      <w:rPr>
        <w:rFonts w:ascii="Palatino Linotype" w:eastAsia="Palatino Linotype" w:hAnsi="Palatino Linotype" w:cs="Palatino Linotype"/>
        <w:i/>
        <w:sz w:val="16"/>
        <w:szCs w:val="16"/>
      </w:rPr>
      <w:t xml:space="preserve">): </w:t>
    </w:r>
    <w:r w:rsidR="00CE719A">
      <w:rPr>
        <w:rFonts w:ascii="Palatino Linotype" w:eastAsia="Palatino Linotype" w:hAnsi="Palatino Linotype" w:cs="Palatino Linotype"/>
        <w:i/>
        <w:sz w:val="16"/>
        <w:szCs w:val="16"/>
      </w:rPr>
      <w:t>49</w:t>
    </w:r>
    <w:r>
      <w:rPr>
        <w:rFonts w:ascii="Palatino Linotype" w:eastAsia="Palatino Linotype" w:hAnsi="Palatino Linotype" w:cs="Palatino Linotype"/>
        <w:i/>
        <w:sz w:val="16"/>
        <w:szCs w:val="16"/>
      </w:rPr>
      <w:t>-</w:t>
    </w:r>
    <w:r w:rsidR="00CE719A">
      <w:rPr>
        <w:rFonts w:ascii="Palatino Linotype" w:eastAsia="Palatino Linotype" w:hAnsi="Palatino Linotype" w:cs="Palatino Linotype"/>
        <w:i/>
        <w:sz w:val="16"/>
        <w:szCs w:val="16"/>
      </w:rPr>
      <w:t>62</w:t>
    </w:r>
    <w:r>
      <w:rPr>
        <w:rFonts w:ascii="Palatino Linotype" w:eastAsia="Palatino Linotype" w:hAnsi="Palatino Linotype" w:cs="Palatino Linotype"/>
        <w:sz w:val="16"/>
        <w:szCs w:val="16"/>
      </w:rPr>
      <w:tab/>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0C2F88">
      <w:rPr>
        <w:rFonts w:ascii="Palatino Linotype" w:eastAsia="Palatino Linotype" w:hAnsi="Palatino Linotype" w:cs="Palatino Linotype"/>
        <w:noProof/>
        <w:sz w:val="16"/>
        <w:szCs w:val="16"/>
      </w:rPr>
      <w:t>8</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w:t>
    </w:r>
    <w:proofErr w:type="spellStart"/>
    <w:r>
      <w:rPr>
        <w:rFonts w:ascii="Palatino Linotype" w:eastAsia="Palatino Linotype" w:hAnsi="Palatino Linotype" w:cs="Palatino Linotype"/>
        <w:sz w:val="16"/>
        <w:szCs w:val="16"/>
      </w:rPr>
      <w:t>dari</w:t>
    </w:r>
    <w:proofErr w:type="spellEnd"/>
    <w:r>
      <w:rPr>
        <w:rFonts w:ascii="Palatino Linotype" w:eastAsia="Palatino Linotype" w:hAnsi="Palatino Linotype" w:cs="Palatino Linotype"/>
        <w:sz w:val="16"/>
        <w:szCs w:val="16"/>
      </w:rPr>
      <w:t xml:space="preserve"> </w:t>
    </w:r>
    <w:r w:rsidR="00A03DEE">
      <w:rPr>
        <w:rFonts w:ascii="Palatino Linotype" w:eastAsia="Palatino Linotype" w:hAnsi="Palatino Linotype" w:cs="Palatino Linotype"/>
        <w:sz w:val="16"/>
        <w:szCs w:val="16"/>
      </w:rPr>
      <w:t>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61C3A" w:rsidRDefault="00E85B7D">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color w:val="000000"/>
        <w:sz w:val="24"/>
        <w:szCs w:val="24"/>
      </w:rPr>
      <w:t>Komunitas: Jurnal Pengembangan Masyarakat Islam</w:t>
    </w:r>
  </w:p>
  <w:p w:rsidR="00761C3A" w:rsidRDefault="00E85B7D">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2540-9182 (online)</w:t>
    </w:r>
  </w:p>
  <w:p w:rsidR="00761C3A" w:rsidRDefault="00E85B7D">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2086-3357 (print)</w:t>
    </w:r>
  </w:p>
  <w:p w:rsidR="00761C3A" w:rsidRDefault="00761C3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7CC2FF4"/>
    <w:lvl w:ilvl="0" w:tplc="6DD4D450">
      <w:start w:val="1"/>
      <w:numFmt w:val="bullet"/>
      <w:lvlText w:val=""/>
      <w:lvlJc w:val="left"/>
      <w:pPr>
        <w:ind w:left="720" w:hanging="360"/>
      </w:pPr>
      <w:rPr>
        <w:rFonts w:ascii="Symbol" w:hAnsi="Symbol" w:hint="default"/>
      </w:rPr>
    </w:lvl>
    <w:lvl w:ilvl="1" w:tplc="97983870" w:tentative="1">
      <w:start w:val="1"/>
      <w:numFmt w:val="bullet"/>
      <w:lvlText w:val="o"/>
      <w:lvlJc w:val="left"/>
      <w:pPr>
        <w:ind w:left="1440" w:hanging="360"/>
      </w:pPr>
      <w:rPr>
        <w:rFonts w:ascii="Courier New" w:hAnsi="Courier New" w:cs="Courier New" w:hint="default"/>
      </w:rPr>
    </w:lvl>
    <w:lvl w:ilvl="2" w:tplc="8C82FF2A" w:tentative="1">
      <w:start w:val="1"/>
      <w:numFmt w:val="bullet"/>
      <w:lvlText w:val=""/>
      <w:lvlJc w:val="left"/>
      <w:pPr>
        <w:ind w:left="2160" w:hanging="360"/>
      </w:pPr>
      <w:rPr>
        <w:rFonts w:ascii="Wingdings" w:hAnsi="Wingdings" w:hint="default"/>
      </w:rPr>
    </w:lvl>
    <w:lvl w:ilvl="3" w:tplc="A952297A" w:tentative="1">
      <w:start w:val="1"/>
      <w:numFmt w:val="bullet"/>
      <w:lvlText w:val=""/>
      <w:lvlJc w:val="left"/>
      <w:pPr>
        <w:ind w:left="2880" w:hanging="360"/>
      </w:pPr>
      <w:rPr>
        <w:rFonts w:ascii="Symbol" w:hAnsi="Symbol" w:hint="default"/>
      </w:rPr>
    </w:lvl>
    <w:lvl w:ilvl="4" w:tplc="9B78E76C" w:tentative="1">
      <w:start w:val="1"/>
      <w:numFmt w:val="bullet"/>
      <w:lvlText w:val="o"/>
      <w:lvlJc w:val="left"/>
      <w:pPr>
        <w:ind w:left="3600" w:hanging="360"/>
      </w:pPr>
      <w:rPr>
        <w:rFonts w:ascii="Courier New" w:hAnsi="Courier New" w:cs="Courier New" w:hint="default"/>
      </w:rPr>
    </w:lvl>
    <w:lvl w:ilvl="5" w:tplc="A7863250" w:tentative="1">
      <w:start w:val="1"/>
      <w:numFmt w:val="bullet"/>
      <w:lvlText w:val=""/>
      <w:lvlJc w:val="left"/>
      <w:pPr>
        <w:ind w:left="4320" w:hanging="360"/>
      </w:pPr>
      <w:rPr>
        <w:rFonts w:ascii="Wingdings" w:hAnsi="Wingdings" w:hint="default"/>
      </w:rPr>
    </w:lvl>
    <w:lvl w:ilvl="6" w:tplc="AB4AACB4" w:tentative="1">
      <w:start w:val="1"/>
      <w:numFmt w:val="bullet"/>
      <w:lvlText w:val=""/>
      <w:lvlJc w:val="left"/>
      <w:pPr>
        <w:ind w:left="5040" w:hanging="360"/>
      </w:pPr>
      <w:rPr>
        <w:rFonts w:ascii="Symbol" w:hAnsi="Symbol" w:hint="default"/>
      </w:rPr>
    </w:lvl>
    <w:lvl w:ilvl="7" w:tplc="EB10840A" w:tentative="1">
      <w:start w:val="1"/>
      <w:numFmt w:val="bullet"/>
      <w:lvlText w:val="o"/>
      <w:lvlJc w:val="left"/>
      <w:pPr>
        <w:ind w:left="5760" w:hanging="360"/>
      </w:pPr>
      <w:rPr>
        <w:rFonts w:ascii="Courier New" w:hAnsi="Courier New" w:cs="Courier New" w:hint="default"/>
      </w:rPr>
    </w:lvl>
    <w:lvl w:ilvl="8" w:tplc="1B36610A"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multilevel"/>
    <w:tmpl w:val="B27CB472"/>
    <w:lvl w:ilvl="0">
      <w:start w:val="1"/>
      <w:numFmt w:val="decimal"/>
      <w:pStyle w:val="JW21heading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BA862FAC"/>
    <w:lvl w:ilvl="0" w:tplc="597C646E">
      <w:start w:val="1"/>
      <w:numFmt w:val="decimal"/>
      <w:lvlText w:val="%1"/>
      <w:lvlJc w:val="left"/>
      <w:pPr>
        <w:ind w:left="360" w:hanging="360"/>
      </w:pPr>
      <w:rPr>
        <w:rFonts w:eastAsia="Arial"/>
        <w:color w:val="000000"/>
        <w:vertAlign w:val="superscript"/>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3" w15:restartNumberingAfterBreak="0">
    <w:nsid w:val="00000004"/>
    <w:multiLevelType w:val="hybridMultilevel"/>
    <w:tmpl w:val="16B8DB70"/>
    <w:lvl w:ilvl="0" w:tplc="6DD4D450">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54F6D696"/>
    <w:lvl w:ilvl="0">
      <w:start w:val="1"/>
      <w:numFmt w:val="decimal"/>
      <w:pStyle w:val="JW37itemiz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06"/>
    <w:multiLevelType w:val="hybridMultilevel"/>
    <w:tmpl w:val="1EF2B1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F0E29128"/>
    <w:lvl w:ilvl="0">
      <w:start w:val="1"/>
      <w:numFmt w:val="decimal"/>
      <w:pStyle w:val="JW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0000008"/>
    <w:multiLevelType w:val="hybridMultilevel"/>
    <w:tmpl w:val="759A0404"/>
    <w:lvl w:ilvl="0" w:tplc="C66CAF86">
      <w:start w:val="1"/>
      <w:numFmt w:val="decimal"/>
      <w:lvlText w:val="2.%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5851533"/>
    <w:multiLevelType w:val="multilevel"/>
    <w:tmpl w:val="D5407F36"/>
    <w:lvl w:ilvl="0">
      <w:start w:val="1"/>
      <w:numFmt w:val="bullet"/>
      <w:lvlText w:val="●"/>
      <w:lvlJc w:val="left"/>
      <w:pPr>
        <w:ind w:left="5889" w:hanging="360"/>
      </w:pPr>
      <w:rPr>
        <w:rFonts w:ascii="Noto Sans Symbols" w:eastAsia="Noto Sans Symbols" w:hAnsi="Noto Sans Symbols" w:cs="Noto Sans Symbols"/>
      </w:rPr>
    </w:lvl>
    <w:lvl w:ilvl="1">
      <w:start w:val="1"/>
      <w:numFmt w:val="bullet"/>
      <w:lvlText w:val="o"/>
      <w:lvlJc w:val="left"/>
      <w:pPr>
        <w:ind w:left="6609" w:hanging="360"/>
      </w:pPr>
      <w:rPr>
        <w:rFonts w:ascii="Courier New" w:eastAsia="Courier New" w:hAnsi="Courier New" w:cs="Courier New"/>
      </w:rPr>
    </w:lvl>
    <w:lvl w:ilvl="2">
      <w:start w:val="1"/>
      <w:numFmt w:val="bullet"/>
      <w:lvlText w:val="▪"/>
      <w:lvlJc w:val="left"/>
      <w:pPr>
        <w:ind w:left="7329" w:hanging="360"/>
      </w:pPr>
      <w:rPr>
        <w:rFonts w:ascii="Noto Sans Symbols" w:eastAsia="Noto Sans Symbols" w:hAnsi="Noto Sans Symbols" w:cs="Noto Sans Symbols"/>
      </w:rPr>
    </w:lvl>
    <w:lvl w:ilvl="3">
      <w:start w:val="1"/>
      <w:numFmt w:val="bullet"/>
      <w:lvlText w:val="●"/>
      <w:lvlJc w:val="left"/>
      <w:pPr>
        <w:ind w:left="8049" w:hanging="360"/>
      </w:pPr>
      <w:rPr>
        <w:rFonts w:ascii="Noto Sans Symbols" w:eastAsia="Noto Sans Symbols" w:hAnsi="Noto Sans Symbols" w:cs="Noto Sans Symbols"/>
      </w:rPr>
    </w:lvl>
    <w:lvl w:ilvl="4">
      <w:start w:val="1"/>
      <w:numFmt w:val="bullet"/>
      <w:lvlText w:val="o"/>
      <w:lvlJc w:val="left"/>
      <w:pPr>
        <w:ind w:left="8769" w:hanging="360"/>
      </w:pPr>
      <w:rPr>
        <w:rFonts w:ascii="Courier New" w:eastAsia="Courier New" w:hAnsi="Courier New" w:cs="Courier New"/>
      </w:rPr>
    </w:lvl>
    <w:lvl w:ilvl="5">
      <w:start w:val="1"/>
      <w:numFmt w:val="bullet"/>
      <w:lvlText w:val="▪"/>
      <w:lvlJc w:val="left"/>
      <w:pPr>
        <w:ind w:left="9489" w:hanging="360"/>
      </w:pPr>
      <w:rPr>
        <w:rFonts w:ascii="Noto Sans Symbols" w:eastAsia="Noto Sans Symbols" w:hAnsi="Noto Sans Symbols" w:cs="Noto Sans Symbols"/>
      </w:rPr>
    </w:lvl>
    <w:lvl w:ilvl="6">
      <w:start w:val="1"/>
      <w:numFmt w:val="bullet"/>
      <w:lvlText w:val="●"/>
      <w:lvlJc w:val="left"/>
      <w:pPr>
        <w:ind w:left="10209" w:hanging="360"/>
      </w:pPr>
      <w:rPr>
        <w:rFonts w:ascii="Noto Sans Symbols" w:eastAsia="Noto Sans Symbols" w:hAnsi="Noto Sans Symbols" w:cs="Noto Sans Symbols"/>
      </w:rPr>
    </w:lvl>
    <w:lvl w:ilvl="7">
      <w:start w:val="1"/>
      <w:numFmt w:val="bullet"/>
      <w:lvlText w:val="o"/>
      <w:lvlJc w:val="left"/>
      <w:pPr>
        <w:ind w:left="10929" w:hanging="360"/>
      </w:pPr>
      <w:rPr>
        <w:rFonts w:ascii="Courier New" w:eastAsia="Courier New" w:hAnsi="Courier New" w:cs="Courier New"/>
      </w:rPr>
    </w:lvl>
    <w:lvl w:ilvl="8">
      <w:start w:val="1"/>
      <w:numFmt w:val="bullet"/>
      <w:lvlText w:val="▪"/>
      <w:lvlJc w:val="left"/>
      <w:pPr>
        <w:ind w:left="11649" w:hanging="360"/>
      </w:pPr>
      <w:rPr>
        <w:rFonts w:ascii="Noto Sans Symbols" w:eastAsia="Noto Sans Symbols" w:hAnsi="Noto Sans Symbols" w:cs="Noto Sans Symbols"/>
      </w:rPr>
    </w:lvl>
  </w:abstractNum>
  <w:abstractNum w:abstractNumId="9" w15:restartNumberingAfterBreak="0">
    <w:nsid w:val="36E658C6"/>
    <w:multiLevelType w:val="hybridMultilevel"/>
    <w:tmpl w:val="970AD8AA"/>
    <w:lvl w:ilvl="0" w:tplc="6CD82C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0530645">
    <w:abstractNumId w:val="1"/>
  </w:num>
  <w:num w:numId="2" w16cid:durableId="901602046">
    <w:abstractNumId w:val="4"/>
  </w:num>
  <w:num w:numId="3" w16cid:durableId="1780225342">
    <w:abstractNumId w:val="6"/>
  </w:num>
  <w:num w:numId="4" w16cid:durableId="400951610">
    <w:abstractNumId w:val="8"/>
  </w:num>
  <w:num w:numId="5" w16cid:durableId="947858908">
    <w:abstractNumId w:val="7"/>
  </w:num>
  <w:num w:numId="6" w16cid:durableId="34020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5286337">
    <w:abstractNumId w:val="2"/>
  </w:num>
  <w:num w:numId="8" w16cid:durableId="187909407">
    <w:abstractNumId w:val="5"/>
  </w:num>
  <w:num w:numId="9" w16cid:durableId="784083820">
    <w:abstractNumId w:val="0"/>
  </w:num>
  <w:num w:numId="10" w16cid:durableId="823740025">
    <w:abstractNumId w:val="3"/>
  </w:num>
  <w:num w:numId="11" w16cid:durableId="6711843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C3A"/>
    <w:rsid w:val="0009236B"/>
    <w:rsid w:val="000C2F88"/>
    <w:rsid w:val="001659DF"/>
    <w:rsid w:val="0044342A"/>
    <w:rsid w:val="004723C6"/>
    <w:rsid w:val="004A1DC6"/>
    <w:rsid w:val="004B2360"/>
    <w:rsid w:val="0069309D"/>
    <w:rsid w:val="00761C3A"/>
    <w:rsid w:val="008A4F7A"/>
    <w:rsid w:val="009C5B88"/>
    <w:rsid w:val="00A03DEE"/>
    <w:rsid w:val="00A16989"/>
    <w:rsid w:val="00A51796"/>
    <w:rsid w:val="00BC1DC9"/>
    <w:rsid w:val="00CE719A"/>
    <w:rsid w:val="00E85B7D"/>
    <w:rsid w:val="00EA0A21"/>
    <w:rsid w:val="00FE0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3FC2"/>
  <w15:docId w15:val="{8DA0B0E6-9BD4-7147-A8FD-70BF8857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W12title">
    <w:name w:val="JW_1.2_title"/>
    <w:next w:val="JW13authornames"/>
    <w:qFormat/>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JW14history">
    <w:name w:val="JW_1.4_history"/>
    <w:basedOn w:val="Normal"/>
    <w:next w:val="Normal"/>
    <w:qFormat/>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qFormat/>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JW2authorcorrespondence">
    <w:name w:val="JW_2_author_correspondence"/>
    <w:qFormat/>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pPr>
      <w:spacing w:before="240"/>
      <w:ind w:left="113" w:firstLine="0"/>
    </w:pPr>
    <w:rPr>
      <w:snapToGrid/>
    </w:rPr>
  </w:style>
  <w:style w:type="paragraph" w:customStyle="1" w:styleId="JW18keywords">
    <w:name w:val="JW_1.8_keywords"/>
    <w:basedOn w:val="JW31text"/>
    <w:next w:val="Normal"/>
    <w:qFormat/>
    <w:pPr>
      <w:spacing w:before="240"/>
      <w:ind w:left="113" w:firstLine="0"/>
    </w:pPr>
  </w:style>
  <w:style w:type="paragraph" w:customStyle="1" w:styleId="JW19line">
    <w:name w:val="JW_1.9_line"/>
    <w:basedOn w:val="JW31text"/>
    <w:qFormat/>
    <w:pPr>
      <w:pBdr>
        <w:bottom w:val="single" w:sz="6" w:space="1" w:color="auto"/>
      </w:pBdr>
      <w:ind w:firstLine="0"/>
    </w:pPr>
    <w:rPr>
      <w:snapToGrid/>
      <w:szCs w:val="24"/>
    </w:rPr>
  </w:style>
  <w:style w:type="paragraph" w:customStyle="1" w:styleId="JW31text">
    <w:name w:val="JW_3.1_text"/>
    <w:qFormat/>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21heading1">
    <w:name w:val="JW_2.1_heading1"/>
    <w:basedOn w:val="Normal"/>
    <w:qFormat/>
    <w:pPr>
      <w:numPr>
        <w:numId w:val="1"/>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JW32textnoindent">
    <w:name w:val="JW_3.2_text_no_indent"/>
    <w:basedOn w:val="JW31text"/>
    <w:qFormat/>
    <w:pPr>
      <w:ind w:firstLine="0"/>
    </w:pPr>
  </w:style>
  <w:style w:type="paragraph" w:customStyle="1" w:styleId="JW33textspaceafter">
    <w:name w:val="JW_3.3_text_space_after"/>
    <w:basedOn w:val="JW31text"/>
    <w:qFormat/>
    <w:pPr>
      <w:spacing w:after="240"/>
    </w:pPr>
  </w:style>
  <w:style w:type="paragraph" w:customStyle="1" w:styleId="JW34textspacebefore">
    <w:name w:val="JW_3.4_text_space_before"/>
    <w:basedOn w:val="JW31text"/>
    <w:qFormat/>
    <w:pPr>
      <w:spacing w:before="240"/>
    </w:pPr>
  </w:style>
  <w:style w:type="paragraph" w:customStyle="1" w:styleId="JW35textbeforelist">
    <w:name w:val="JW_3.5_text_before_list"/>
    <w:basedOn w:val="JW31text"/>
    <w:qFormat/>
    <w:pPr>
      <w:spacing w:after="120"/>
    </w:pPr>
  </w:style>
  <w:style w:type="paragraph" w:customStyle="1" w:styleId="JW36textafterlist">
    <w:name w:val="JW_3.6_text_after_list"/>
    <w:basedOn w:val="JW31text"/>
    <w:qFormat/>
    <w:pPr>
      <w:spacing w:before="120"/>
    </w:pPr>
  </w:style>
  <w:style w:type="paragraph" w:customStyle="1" w:styleId="JW37itemize">
    <w:name w:val="JW_3.7_itemize"/>
    <w:basedOn w:val="JW31text"/>
    <w:qFormat/>
    <w:pPr>
      <w:numPr>
        <w:numId w:val="2"/>
      </w:numPr>
      <w:ind w:left="425" w:hanging="425"/>
    </w:pPr>
  </w:style>
  <w:style w:type="paragraph" w:customStyle="1" w:styleId="JW38bullet">
    <w:name w:val="JW_3.8_bullet"/>
    <w:basedOn w:val="JW31text"/>
    <w:qFormat/>
    <w:pPr>
      <w:numPr>
        <w:numId w:val="3"/>
      </w:numPr>
      <w:ind w:left="425" w:hanging="425"/>
    </w:pPr>
  </w:style>
  <w:style w:type="paragraph" w:customStyle="1" w:styleId="JW39equation">
    <w:name w:val="JW_3.9_equation"/>
    <w:basedOn w:val="JW31text"/>
    <w:qFormat/>
    <w:pPr>
      <w:spacing w:before="120" w:after="120"/>
      <w:ind w:left="709" w:firstLine="0"/>
      <w:jc w:val="center"/>
    </w:pPr>
  </w:style>
  <w:style w:type="paragraph" w:customStyle="1" w:styleId="JW3aequationnumber">
    <w:name w:val="JW_3.a_equation_number"/>
    <w:basedOn w:val="JW31text"/>
    <w:pPr>
      <w:spacing w:before="120" w:after="120" w:line="240" w:lineRule="auto"/>
      <w:ind w:firstLine="0"/>
      <w:jc w:val="right"/>
    </w:pPr>
  </w:style>
  <w:style w:type="paragraph" w:customStyle="1" w:styleId="JW62Acknowledgments">
    <w:name w:val="JW_6.2_Acknowledgments"/>
    <w:qFormat/>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pPr>
      <w:spacing w:before="240" w:after="120" w:line="260" w:lineRule="atLeast"/>
      <w:ind w:left="425" w:right="425"/>
    </w:pPr>
    <w:rPr>
      <w:snapToGrid/>
      <w:szCs w:val="22"/>
    </w:rPr>
  </w:style>
  <w:style w:type="paragraph" w:customStyle="1" w:styleId="JW42tablebody">
    <w:name w:val="JW_4.2_table_body"/>
    <w:qFormat/>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pPr>
      <w:spacing w:before="0"/>
      <w:ind w:left="0" w:right="0"/>
    </w:pPr>
  </w:style>
  <w:style w:type="paragraph" w:customStyle="1" w:styleId="JW51figurecaption">
    <w:name w:val="JW_5.1_figure_caption"/>
    <w:basedOn w:val="JW62Acknowledgments"/>
    <w:qFormat/>
    <w:pPr>
      <w:spacing w:after="240" w:line="260" w:lineRule="atLeast"/>
      <w:ind w:left="425" w:right="425"/>
    </w:pPr>
    <w:rPr>
      <w:snapToGrid/>
    </w:rPr>
  </w:style>
  <w:style w:type="paragraph" w:customStyle="1" w:styleId="JW52figure">
    <w:name w:val="JW_5.2_figure"/>
    <w:qFormat/>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pPr>
      <w:ind w:left="426"/>
    </w:pPr>
    <w:rPr>
      <w:iCs/>
    </w:rPr>
  </w:style>
  <w:style w:type="paragraph" w:customStyle="1" w:styleId="JW23heading3">
    <w:name w:val="JW_2.3_heading3"/>
    <w:basedOn w:val="JW31text"/>
    <w:qFormat/>
    <w:pPr>
      <w:spacing w:before="240" w:after="120"/>
      <w:ind w:firstLine="0"/>
      <w:jc w:val="left"/>
      <w:outlineLvl w:val="2"/>
    </w:pPr>
  </w:style>
  <w:style w:type="paragraph" w:customStyle="1" w:styleId="JW22heading2">
    <w:name w:val="JW_2.2_heading2"/>
    <w:basedOn w:val="Normal"/>
    <w:qFormat/>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JW71References">
    <w:name w:val="JW_7.1_References"/>
    <w:basedOn w:val="Normal"/>
    <w:qFormat/>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rPr>
      <w:color w:val="0563C1"/>
      <w:u w:val="singl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JW11articletype">
    <w:name w:val="JW_1.1_article_type"/>
    <w:basedOn w:val="Normal"/>
    <w:next w:val="Normal"/>
    <w:qFormat/>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customStyle="1" w:styleId="UnresolvedMention1">
    <w:name w:val="Unresolved Mention1"/>
    <w:basedOn w:val="DefaultParagraphFont"/>
    <w:uiPriority w:val="99"/>
    <w:rPr>
      <w:color w:val="605E5C"/>
      <w:shd w:val="clear" w:color="auto" w:fill="E1DFDD"/>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Caption">
    <w:name w:val="caption"/>
    <w:basedOn w:val="Normal"/>
    <w:next w:val="Normal"/>
    <w:uiPriority w:val="35"/>
    <w:qFormat/>
    <w:pPr>
      <w:spacing w:after="200" w:line="240" w:lineRule="auto"/>
    </w:pPr>
    <w:rPr>
      <w:i/>
      <w:iCs/>
      <w:color w:val="44546A"/>
      <w:sz w:val="18"/>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pPr>
      <w:ind w:left="720"/>
      <w:contextualSpacing/>
    </w:pPr>
  </w:style>
  <w:style w:type="character" w:customStyle="1" w:styleId="UnresolvedMention2">
    <w:name w:val="Unresolved Mention2"/>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Quote">
    <w:name w:val="Quote"/>
    <w:basedOn w:val="Normal"/>
    <w:next w:val="Normal"/>
    <w:link w:val="QuoteChar"/>
    <w:uiPriority w:val="29"/>
    <w:qFormat/>
    <w:rsid w:val="004A1DC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A1DC6"/>
    <w:rPr>
      <w:i/>
      <w:iCs/>
      <w:color w:val="404040" w:themeColor="text1" w:themeTint="BF"/>
    </w:rPr>
  </w:style>
  <w:style w:type="paragraph" w:styleId="IntenseQuote">
    <w:name w:val="Intense Quote"/>
    <w:basedOn w:val="Normal"/>
    <w:next w:val="Normal"/>
    <w:link w:val="IntenseQuoteChar"/>
    <w:uiPriority w:val="30"/>
    <w:qFormat/>
    <w:rsid w:val="004A1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A1DC6"/>
    <w:rPr>
      <w:i/>
      <w:iCs/>
      <w:color w:val="4F81BD" w:themeColor="accent1"/>
    </w:rPr>
  </w:style>
  <w:style w:type="character" w:styleId="Emphasis">
    <w:name w:val="Emphasis"/>
    <w:basedOn w:val="DefaultParagraphFont"/>
    <w:uiPriority w:val="20"/>
    <w:qFormat/>
    <w:rsid w:val="004A1D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983322">
      <w:bodyDiv w:val="1"/>
      <w:marLeft w:val="0"/>
      <w:marRight w:val="0"/>
      <w:marTop w:val="0"/>
      <w:marBottom w:val="0"/>
      <w:divBdr>
        <w:top w:val="none" w:sz="0" w:space="0" w:color="auto"/>
        <w:left w:val="none" w:sz="0" w:space="0" w:color="auto"/>
        <w:bottom w:val="none" w:sz="0" w:space="0" w:color="auto"/>
        <w:right w:val="none" w:sz="0" w:space="0" w:color="auto"/>
      </w:divBdr>
      <w:divsChild>
        <w:div w:id="1780180907">
          <w:marLeft w:val="0"/>
          <w:marRight w:val="0"/>
          <w:marTop w:val="0"/>
          <w:marBottom w:val="0"/>
          <w:divBdr>
            <w:top w:val="none" w:sz="0" w:space="0" w:color="auto"/>
            <w:left w:val="none" w:sz="0" w:space="0" w:color="auto"/>
            <w:bottom w:val="none" w:sz="0" w:space="0" w:color="auto"/>
            <w:right w:val="none" w:sz="0" w:space="0" w:color="auto"/>
          </w:divBdr>
          <w:divsChild>
            <w:div w:id="142144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in698978@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go:gDocsCustomXmlDataStorage xmlns:go="http://customooxmlschemas.google.com/" xmlns:r="http://schemas.openxmlformats.org/officeDocument/2006/relationships">
  <go:docsCustomData xmlns:go="http://customooxmlschemas.google.com/" roundtripDataSignature="AMtx7mgbQxquvmab8VCAcy+y1qvh1W4fXw==">AMUW2mW4drwDyuf6o07VDa/Cl531H+5GvRx79LDqj2br/cklavXJlI7iu4+lMMZPMTawUX4amy6QarWojSh/czVa41cOawVhQYjh6rOyjbiScKY8UZuPKMUuT5KOss5h7/PWdP7zki35B6riCCI7IujM92+Gx5XOyg==</go:docsCustomData>
</go:gDocsCustomXmlDataStorage>
</file>

<file path=customXml/itemProps1.xml><?xml version="1.0" encoding="utf-8"?>
<ds:datastoreItem xmlns:ds="http://schemas.openxmlformats.org/officeDocument/2006/customXml" ds:itemID="{29756664-628B-47B4-8511-FF5D20F64F29}">
  <ds:schemaRefs>
    <ds:schemaRef ds:uri="http://www.wps.cn/android/officeDocument/2013/mofficeCustomData"/>
  </ds:schemaRefs>
</ds:datastoreItem>
</file>

<file path=customXml/itemProps2.xml><?xml version="1.0" encoding="utf-8"?>
<ds:datastoreItem xmlns:ds="http://schemas.openxmlformats.org/officeDocument/2006/customXml" ds:itemID="{4E9175CC-E9C4-4C4F-9BCA-2CCA770532CA}">
  <ds:schemaRefs>
    <ds:schemaRef ds:uri="http://schemas.openxmlformats.org/officeDocument/2006/bibliography"/>
  </ds:schemaRefs>
</ds:datastoreItem>
</file>

<file path=customXml/itemProps3.xml><?xml version="1.0" encoding="utf-8"?>
<ds:datastoreItem xmlns:ds="http://schemas.openxmlformats.org/officeDocument/2006/customXml" ds:itemID="{93033093-7C64-4648-B5FF-A61EB7B522CC}">
  <ds:schemaRefs>
    <ds:schemaRef ds:uri="http://www.wps.cn/android/officeDocument/2013/mofficeCustomDat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11346</Words>
  <Characters>64677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Amrulloh</dc:creator>
  <cp:lastModifiedBy>Microsoft Office User</cp:lastModifiedBy>
  <cp:revision>6</cp:revision>
  <dcterms:created xsi:type="dcterms:W3CDTF">2025-06-29T10:16:00Z</dcterms:created>
  <dcterms:modified xsi:type="dcterms:W3CDTF">2025-06-30T05:07:00Z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77ca1485-dae5-3308-9719-f8329406e0d3</vt:lpwstr>
  </property>
  <property fmtid="{D5CDD505-2E9C-101B-9397-08002B2CF9AE}" pid="24" name="Mendeley Citation Style_1">
    <vt:lpwstr>http://www.zotero.org/styles/apa-6th-edition</vt:lpwstr>
  </property>
  <property fmtid="{D5CDD505-2E9C-101B-9397-08002B2CF9AE}" pid="25" name="ICV">
    <vt:lpwstr>7c48cb796cdd4e23b2667960196288ac</vt:lpwstr>
  </property>
</Properties>
</file>