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AE83C9" w14:textId="77777777" w:rsidR="00483189" w:rsidRDefault="00483189">
      <w:pPr>
        <w:pBdr>
          <w:top w:val="nil"/>
          <w:left w:val="nil"/>
          <w:bottom w:val="nil"/>
          <w:right w:val="nil"/>
          <w:between w:val="nil"/>
        </w:pBdr>
        <w:spacing w:after="0" w:line="240" w:lineRule="auto"/>
        <w:jc w:val="both"/>
        <w:rPr>
          <w:rFonts w:ascii="Arial" w:eastAsia="Arial" w:hAnsi="Arial" w:cs="Arial"/>
          <w:b/>
          <w:color w:val="000000"/>
          <w:sz w:val="26"/>
          <w:szCs w:val="26"/>
        </w:rPr>
      </w:pPr>
    </w:p>
    <w:p w14:paraId="151D18BC" w14:textId="72407305" w:rsidR="00483189" w:rsidRDefault="00995D2D" w:rsidP="00995D2D">
      <w:pPr>
        <w:pBdr>
          <w:top w:val="nil"/>
          <w:left w:val="nil"/>
          <w:bottom w:val="nil"/>
          <w:right w:val="nil"/>
          <w:between w:val="nil"/>
        </w:pBdr>
        <w:spacing w:after="0" w:line="240" w:lineRule="auto"/>
        <w:jc w:val="both"/>
        <w:rPr>
          <w:rFonts w:ascii="Arial" w:eastAsia="Arial" w:hAnsi="Arial" w:cs="Arial"/>
          <w:b/>
          <w:color w:val="000000"/>
          <w:sz w:val="26"/>
          <w:szCs w:val="26"/>
        </w:rPr>
      </w:pPr>
      <w:r w:rsidRPr="00995D2D">
        <w:rPr>
          <w:rFonts w:ascii="Arial" w:eastAsia="Arial" w:hAnsi="Arial" w:cs="Arial"/>
          <w:b/>
          <w:color w:val="000000"/>
          <w:sz w:val="26"/>
          <w:szCs w:val="26"/>
        </w:rPr>
        <w:t xml:space="preserve">The Prevention Strategy of the </w:t>
      </w:r>
      <w:proofErr w:type="spellStart"/>
      <w:r w:rsidRPr="00995D2D">
        <w:rPr>
          <w:rFonts w:ascii="Arial" w:eastAsia="Arial" w:hAnsi="Arial" w:cs="Arial"/>
          <w:b/>
          <w:color w:val="000000"/>
          <w:sz w:val="26"/>
          <w:szCs w:val="26"/>
        </w:rPr>
        <w:t>Sambinae</w:t>
      </w:r>
      <w:proofErr w:type="spellEnd"/>
      <w:r w:rsidRPr="00995D2D">
        <w:rPr>
          <w:rFonts w:ascii="Arial" w:eastAsia="Arial" w:hAnsi="Arial" w:cs="Arial"/>
          <w:b/>
          <w:color w:val="000000"/>
          <w:sz w:val="26"/>
          <w:szCs w:val="26"/>
        </w:rPr>
        <w:t xml:space="preserve"> Subdistrict Leader Against Drug Trafficking</w:t>
      </w:r>
    </w:p>
    <w:p w14:paraId="212F18CC" w14:textId="77777777" w:rsidR="006715D5" w:rsidRDefault="006715D5" w:rsidP="00995D2D">
      <w:pPr>
        <w:pBdr>
          <w:top w:val="nil"/>
          <w:left w:val="nil"/>
          <w:bottom w:val="nil"/>
          <w:right w:val="nil"/>
          <w:between w:val="nil"/>
        </w:pBdr>
        <w:spacing w:after="0" w:line="240" w:lineRule="auto"/>
        <w:jc w:val="both"/>
        <w:rPr>
          <w:rFonts w:ascii="Arial" w:eastAsia="Arial" w:hAnsi="Arial" w:cs="Arial"/>
          <w:b/>
          <w:color w:val="000000"/>
          <w:sz w:val="20"/>
          <w:szCs w:val="20"/>
        </w:rPr>
      </w:pPr>
    </w:p>
    <w:p w14:paraId="184A9574" w14:textId="4CCE632C" w:rsidR="00483189" w:rsidRPr="00521942" w:rsidRDefault="006715D5">
      <w:pPr>
        <w:pBdr>
          <w:top w:val="nil"/>
          <w:left w:val="nil"/>
          <w:bottom w:val="nil"/>
          <w:right w:val="nil"/>
          <w:between w:val="nil"/>
        </w:pBdr>
        <w:spacing w:after="120"/>
        <w:rPr>
          <w:rFonts w:ascii="Arial" w:eastAsia="Arial" w:hAnsi="Arial" w:cs="Arial"/>
          <w:b/>
          <w:color w:val="000000"/>
          <w:sz w:val="20"/>
          <w:szCs w:val="20"/>
        </w:rPr>
      </w:pPr>
      <w:r>
        <w:rPr>
          <w:rFonts w:ascii="Arial" w:eastAsia="Arial" w:hAnsi="Arial" w:cs="Arial"/>
          <w:b/>
          <w:color w:val="000000"/>
          <w:sz w:val="20"/>
          <w:szCs w:val="20"/>
        </w:rPr>
        <w:t xml:space="preserve"> </w:t>
      </w:r>
      <w:proofErr w:type="spellStart"/>
      <w:r w:rsidR="00521942">
        <w:rPr>
          <w:rFonts w:ascii="Arial" w:eastAsia="Arial" w:hAnsi="Arial" w:cs="Arial"/>
          <w:b/>
          <w:color w:val="000000"/>
          <w:sz w:val="20"/>
          <w:szCs w:val="20"/>
        </w:rPr>
        <w:t>Renni</w:t>
      </w:r>
      <w:proofErr w:type="spellEnd"/>
      <w:r w:rsidR="00521942">
        <w:rPr>
          <w:rFonts w:ascii="Arial" w:eastAsia="Arial" w:hAnsi="Arial" w:cs="Arial"/>
          <w:b/>
          <w:color w:val="000000"/>
          <w:sz w:val="20"/>
          <w:szCs w:val="20"/>
        </w:rPr>
        <w:t xml:space="preserve"> Sartika</w:t>
      </w:r>
      <w:r>
        <w:rPr>
          <w:rFonts w:ascii="Arial" w:eastAsia="Arial" w:hAnsi="Arial" w:cs="Arial"/>
          <w:b/>
          <w:color w:val="000000"/>
          <w:sz w:val="20"/>
          <w:szCs w:val="20"/>
          <w:vertAlign w:val="superscript"/>
        </w:rPr>
        <w:t>1*</w:t>
      </w:r>
      <w:r>
        <w:rPr>
          <w:rFonts w:ascii="Arial" w:eastAsia="Arial" w:hAnsi="Arial" w:cs="Arial"/>
          <w:b/>
          <w:color w:val="000000"/>
          <w:sz w:val="20"/>
          <w:szCs w:val="20"/>
        </w:rPr>
        <w:t>, Nurfarhati</w:t>
      </w:r>
      <w:r>
        <w:rPr>
          <w:rFonts w:ascii="Arial" w:eastAsia="Arial" w:hAnsi="Arial" w:cs="Arial"/>
          <w:b/>
          <w:color w:val="000000"/>
          <w:sz w:val="20"/>
          <w:szCs w:val="20"/>
          <w:vertAlign w:val="superscript"/>
        </w:rPr>
        <w:t>2</w:t>
      </w:r>
      <w:r w:rsidR="00521942">
        <w:rPr>
          <w:rFonts w:ascii="Arial" w:eastAsia="Arial" w:hAnsi="Arial" w:cs="Arial"/>
          <w:b/>
          <w:color w:val="000000"/>
          <w:sz w:val="20"/>
          <w:szCs w:val="20"/>
        </w:rPr>
        <w:t>, Syamsuddin</w:t>
      </w:r>
      <w:r>
        <w:rPr>
          <w:rFonts w:ascii="Arial" w:eastAsia="Arial" w:hAnsi="Arial" w:cs="Arial"/>
          <w:b/>
          <w:color w:val="000000"/>
          <w:sz w:val="20"/>
          <w:szCs w:val="20"/>
          <w:vertAlign w:val="superscript"/>
        </w:rPr>
        <w:t>3</w:t>
      </w:r>
      <w:r w:rsidR="00521942">
        <w:rPr>
          <w:rFonts w:ascii="Arial" w:eastAsia="Arial" w:hAnsi="Arial" w:cs="Arial"/>
          <w:b/>
          <w:color w:val="000000"/>
          <w:sz w:val="20"/>
          <w:szCs w:val="20"/>
        </w:rPr>
        <w:t>, Mas’ud</w:t>
      </w:r>
      <w:r w:rsidR="00521942" w:rsidRPr="00521942">
        <w:rPr>
          <w:rFonts w:ascii="Arial" w:eastAsia="Arial" w:hAnsi="Arial" w:cs="Arial"/>
          <w:b/>
          <w:color w:val="000000"/>
          <w:sz w:val="20"/>
          <w:szCs w:val="20"/>
          <w:vertAlign w:val="superscript"/>
        </w:rPr>
        <w:t>4</w:t>
      </w:r>
      <w:r w:rsidR="00521942">
        <w:rPr>
          <w:rFonts w:ascii="Arial" w:eastAsia="Arial" w:hAnsi="Arial" w:cs="Arial"/>
          <w:b/>
          <w:color w:val="000000"/>
          <w:sz w:val="20"/>
          <w:szCs w:val="20"/>
        </w:rPr>
        <w:t>, Kasman</w:t>
      </w:r>
      <w:r w:rsidR="00521942" w:rsidRPr="00521942">
        <w:rPr>
          <w:rFonts w:ascii="Arial" w:eastAsia="Arial" w:hAnsi="Arial" w:cs="Arial"/>
          <w:b/>
          <w:color w:val="000000"/>
          <w:sz w:val="20"/>
          <w:szCs w:val="20"/>
          <w:vertAlign w:val="superscript"/>
        </w:rPr>
        <w:t>5</w:t>
      </w:r>
    </w:p>
    <w:p w14:paraId="00543C9D" w14:textId="505591F6" w:rsidR="00483189" w:rsidRDefault="00031F18">
      <w:pPr>
        <w:pBdr>
          <w:top w:val="nil"/>
          <w:left w:val="nil"/>
          <w:bottom w:val="nil"/>
          <w:right w:val="nil"/>
          <w:between w:val="nil"/>
        </w:pBdr>
        <w:spacing w:after="0"/>
        <w:ind w:left="311" w:hanging="198"/>
        <w:rPr>
          <w:rFonts w:ascii="Arial" w:eastAsia="Arial" w:hAnsi="Arial" w:cs="Arial"/>
          <w:color w:val="000000"/>
          <w:sz w:val="18"/>
          <w:szCs w:val="18"/>
        </w:rPr>
      </w:pPr>
      <w:r>
        <w:rPr>
          <w:rFonts w:ascii="Arial" w:eastAsia="Arial" w:hAnsi="Arial" w:cs="Arial"/>
          <w:color w:val="000000"/>
          <w:sz w:val="18"/>
          <w:szCs w:val="18"/>
          <w:vertAlign w:val="superscript"/>
        </w:rPr>
        <w:t>1</w:t>
      </w:r>
      <w:r>
        <w:rPr>
          <w:rFonts w:ascii="Arial" w:eastAsia="Arial" w:hAnsi="Arial" w:cs="Arial"/>
          <w:color w:val="000000"/>
          <w:sz w:val="18"/>
          <w:szCs w:val="18"/>
        </w:rPr>
        <w:tab/>
      </w:r>
      <w:r w:rsidR="006715D5">
        <w:rPr>
          <w:rFonts w:ascii="Arial" w:eastAsia="Arial" w:hAnsi="Arial" w:cs="Arial"/>
          <w:color w:val="000000"/>
          <w:sz w:val="18"/>
          <w:szCs w:val="18"/>
        </w:rPr>
        <w:t xml:space="preserve">Universitas </w:t>
      </w:r>
      <w:proofErr w:type="spellStart"/>
      <w:r w:rsidR="006715D5">
        <w:rPr>
          <w:rFonts w:ascii="Arial" w:eastAsia="Arial" w:hAnsi="Arial" w:cs="Arial"/>
          <w:color w:val="000000"/>
          <w:sz w:val="18"/>
          <w:szCs w:val="18"/>
        </w:rPr>
        <w:t>Mbojo</w:t>
      </w:r>
      <w:proofErr w:type="spellEnd"/>
      <w:r w:rsidR="006715D5">
        <w:rPr>
          <w:rFonts w:ascii="Arial" w:eastAsia="Arial" w:hAnsi="Arial" w:cs="Arial"/>
          <w:color w:val="000000"/>
          <w:sz w:val="18"/>
          <w:szCs w:val="18"/>
        </w:rPr>
        <w:t xml:space="preserve"> </w:t>
      </w:r>
      <w:proofErr w:type="spellStart"/>
      <w:r w:rsidR="006715D5">
        <w:rPr>
          <w:rFonts w:ascii="Arial" w:eastAsia="Arial" w:hAnsi="Arial" w:cs="Arial"/>
          <w:color w:val="000000"/>
          <w:sz w:val="18"/>
          <w:szCs w:val="18"/>
        </w:rPr>
        <w:t>Bima</w:t>
      </w:r>
      <w:proofErr w:type="spellEnd"/>
      <w:r>
        <w:rPr>
          <w:rFonts w:ascii="Arial" w:eastAsia="Arial" w:hAnsi="Arial" w:cs="Arial"/>
          <w:color w:val="000000"/>
          <w:sz w:val="18"/>
          <w:szCs w:val="18"/>
        </w:rPr>
        <w:t xml:space="preserve"> 1; </w:t>
      </w:r>
      <w:hyperlink r:id="rId9" w:history="1">
        <w:r w:rsidR="005E5437" w:rsidRPr="00E41D2F">
          <w:rPr>
            <w:rStyle w:val="Hyperlink"/>
            <w:rFonts w:ascii="Arial" w:eastAsia="Arial" w:hAnsi="Arial" w:cs="Arial"/>
            <w:sz w:val="18"/>
            <w:szCs w:val="18"/>
          </w:rPr>
          <w:t>Rennisartika17@gmail.com</w:t>
        </w:r>
      </w:hyperlink>
      <w:r w:rsidR="005E5437">
        <w:rPr>
          <w:rFonts w:ascii="Arial" w:eastAsia="Arial" w:hAnsi="Arial" w:cs="Arial"/>
          <w:color w:val="000000"/>
          <w:sz w:val="18"/>
          <w:szCs w:val="18"/>
        </w:rPr>
        <w:t xml:space="preserve"> </w:t>
      </w:r>
    </w:p>
    <w:p w14:paraId="3AA612BA" w14:textId="18529A2E" w:rsidR="00483189" w:rsidRDefault="00031F18">
      <w:pPr>
        <w:pBdr>
          <w:top w:val="nil"/>
          <w:left w:val="nil"/>
          <w:bottom w:val="nil"/>
          <w:right w:val="nil"/>
          <w:between w:val="nil"/>
        </w:pBdr>
        <w:spacing w:after="0"/>
        <w:ind w:left="311" w:hanging="198"/>
        <w:rPr>
          <w:rFonts w:ascii="Arial" w:eastAsia="Arial" w:hAnsi="Arial" w:cs="Arial"/>
          <w:color w:val="000000"/>
          <w:sz w:val="18"/>
          <w:szCs w:val="18"/>
        </w:rPr>
      </w:pPr>
      <w:r>
        <w:rPr>
          <w:rFonts w:ascii="Arial" w:eastAsia="Arial" w:hAnsi="Arial" w:cs="Arial"/>
          <w:color w:val="000000"/>
          <w:sz w:val="18"/>
          <w:szCs w:val="18"/>
          <w:vertAlign w:val="superscript"/>
        </w:rPr>
        <w:t>2</w:t>
      </w:r>
      <w:r>
        <w:rPr>
          <w:rFonts w:ascii="Arial" w:eastAsia="Arial" w:hAnsi="Arial" w:cs="Arial"/>
          <w:color w:val="000000"/>
          <w:sz w:val="18"/>
          <w:szCs w:val="18"/>
        </w:rPr>
        <w:tab/>
      </w:r>
      <w:r w:rsidR="006715D5">
        <w:rPr>
          <w:rFonts w:ascii="Arial" w:eastAsia="Arial" w:hAnsi="Arial" w:cs="Arial"/>
          <w:color w:val="000000"/>
          <w:sz w:val="18"/>
          <w:szCs w:val="18"/>
        </w:rPr>
        <w:t xml:space="preserve">Universitas </w:t>
      </w:r>
      <w:proofErr w:type="spellStart"/>
      <w:r w:rsidR="006715D5">
        <w:rPr>
          <w:rFonts w:ascii="Arial" w:eastAsia="Arial" w:hAnsi="Arial" w:cs="Arial"/>
          <w:color w:val="000000"/>
          <w:sz w:val="18"/>
          <w:szCs w:val="18"/>
        </w:rPr>
        <w:t>Mbojo</w:t>
      </w:r>
      <w:proofErr w:type="spellEnd"/>
      <w:r w:rsidR="006715D5">
        <w:rPr>
          <w:rFonts w:ascii="Arial" w:eastAsia="Arial" w:hAnsi="Arial" w:cs="Arial"/>
          <w:color w:val="000000"/>
          <w:sz w:val="18"/>
          <w:szCs w:val="18"/>
        </w:rPr>
        <w:t xml:space="preserve"> </w:t>
      </w:r>
      <w:proofErr w:type="spellStart"/>
      <w:r w:rsidR="006715D5">
        <w:rPr>
          <w:rFonts w:ascii="Arial" w:eastAsia="Arial" w:hAnsi="Arial" w:cs="Arial"/>
          <w:color w:val="000000"/>
          <w:sz w:val="18"/>
          <w:szCs w:val="18"/>
        </w:rPr>
        <w:t>Bima</w:t>
      </w:r>
      <w:proofErr w:type="spellEnd"/>
      <w:r>
        <w:rPr>
          <w:rFonts w:ascii="Arial" w:eastAsia="Arial" w:hAnsi="Arial" w:cs="Arial"/>
          <w:color w:val="000000"/>
          <w:sz w:val="18"/>
          <w:szCs w:val="18"/>
        </w:rPr>
        <w:t xml:space="preserve"> 2; </w:t>
      </w:r>
      <w:hyperlink r:id="rId10" w:history="1">
        <w:r w:rsidR="005E5437" w:rsidRPr="00E41D2F">
          <w:rPr>
            <w:rStyle w:val="Hyperlink"/>
            <w:rFonts w:ascii="Arial" w:eastAsia="Arial" w:hAnsi="Arial" w:cs="Arial"/>
            <w:sz w:val="18"/>
            <w:szCs w:val="18"/>
          </w:rPr>
          <w:t>nurfarhartybima11@gmail.com</w:t>
        </w:r>
      </w:hyperlink>
    </w:p>
    <w:p w14:paraId="10292C30" w14:textId="53A969B6" w:rsidR="00483189" w:rsidRDefault="005E5437">
      <w:pPr>
        <w:pBdr>
          <w:top w:val="nil"/>
          <w:left w:val="nil"/>
          <w:bottom w:val="nil"/>
          <w:right w:val="nil"/>
          <w:between w:val="nil"/>
        </w:pBdr>
        <w:spacing w:after="0"/>
        <w:ind w:left="311" w:hanging="198"/>
        <w:rPr>
          <w:rFonts w:ascii="Arial" w:eastAsia="Arial" w:hAnsi="Arial" w:cs="Arial"/>
          <w:color w:val="000000"/>
          <w:sz w:val="18"/>
          <w:szCs w:val="18"/>
        </w:rPr>
      </w:pPr>
      <w:r>
        <w:rPr>
          <w:rFonts w:ascii="Arial" w:eastAsia="Arial" w:hAnsi="Arial" w:cs="Arial"/>
          <w:color w:val="000000"/>
          <w:sz w:val="18"/>
          <w:szCs w:val="18"/>
          <w:vertAlign w:val="superscript"/>
        </w:rPr>
        <w:t>3</w:t>
      </w:r>
      <w:r>
        <w:rPr>
          <w:rFonts w:ascii="Arial" w:eastAsia="Arial" w:hAnsi="Arial" w:cs="Arial"/>
          <w:color w:val="000000"/>
          <w:sz w:val="18"/>
          <w:szCs w:val="18"/>
        </w:rPr>
        <w:tab/>
      </w:r>
      <w:r w:rsidR="006715D5">
        <w:rPr>
          <w:rFonts w:ascii="Arial" w:eastAsia="Arial" w:hAnsi="Arial" w:cs="Arial"/>
          <w:color w:val="000000"/>
          <w:sz w:val="18"/>
          <w:szCs w:val="18"/>
        </w:rPr>
        <w:t xml:space="preserve">Universitas </w:t>
      </w:r>
      <w:proofErr w:type="spellStart"/>
      <w:r w:rsidR="006715D5">
        <w:rPr>
          <w:rFonts w:ascii="Arial" w:eastAsia="Arial" w:hAnsi="Arial" w:cs="Arial"/>
          <w:color w:val="000000"/>
          <w:sz w:val="18"/>
          <w:szCs w:val="18"/>
        </w:rPr>
        <w:t>Mbojo</w:t>
      </w:r>
      <w:proofErr w:type="spellEnd"/>
      <w:r w:rsidR="00AF26A2">
        <w:rPr>
          <w:rFonts w:ascii="Arial" w:eastAsia="Arial" w:hAnsi="Arial" w:cs="Arial"/>
          <w:color w:val="000000"/>
          <w:sz w:val="18"/>
          <w:szCs w:val="18"/>
        </w:rPr>
        <w:t xml:space="preserve"> </w:t>
      </w:r>
      <w:proofErr w:type="spellStart"/>
      <w:r w:rsidR="00AF26A2">
        <w:rPr>
          <w:rFonts w:ascii="Arial" w:eastAsia="Arial" w:hAnsi="Arial" w:cs="Arial"/>
          <w:color w:val="000000"/>
          <w:sz w:val="18"/>
          <w:szCs w:val="18"/>
        </w:rPr>
        <w:t>Bima</w:t>
      </w:r>
      <w:proofErr w:type="spellEnd"/>
      <w:r w:rsidR="00AF26A2">
        <w:rPr>
          <w:rFonts w:ascii="Arial" w:eastAsia="Arial" w:hAnsi="Arial" w:cs="Arial"/>
          <w:color w:val="000000"/>
          <w:sz w:val="18"/>
          <w:szCs w:val="18"/>
        </w:rPr>
        <w:t xml:space="preserve"> </w:t>
      </w:r>
      <w:r>
        <w:rPr>
          <w:rFonts w:ascii="Arial" w:eastAsia="Arial" w:hAnsi="Arial" w:cs="Arial"/>
          <w:color w:val="000000"/>
          <w:sz w:val="18"/>
          <w:szCs w:val="18"/>
        </w:rPr>
        <w:t xml:space="preserve">3; </w:t>
      </w:r>
      <w:hyperlink r:id="rId11" w:history="1">
        <w:r w:rsidRPr="00E41D2F">
          <w:rPr>
            <w:rStyle w:val="Hyperlink"/>
            <w:rFonts w:ascii="Arial" w:eastAsia="Arial" w:hAnsi="Arial" w:cs="Arial"/>
            <w:sz w:val="18"/>
            <w:szCs w:val="18"/>
          </w:rPr>
          <w:t>syamsuddin@stisipbima.ac.id</w:t>
        </w:r>
      </w:hyperlink>
    </w:p>
    <w:p w14:paraId="64BF0197" w14:textId="551779F4" w:rsidR="005E5437" w:rsidRDefault="005E5437">
      <w:pPr>
        <w:pBdr>
          <w:top w:val="nil"/>
          <w:left w:val="nil"/>
          <w:bottom w:val="nil"/>
          <w:right w:val="nil"/>
          <w:between w:val="nil"/>
        </w:pBdr>
        <w:spacing w:after="0"/>
        <w:ind w:left="311" w:hanging="198"/>
        <w:rPr>
          <w:rFonts w:ascii="Arial" w:eastAsia="Arial" w:hAnsi="Arial" w:cs="Arial"/>
          <w:color w:val="000000"/>
          <w:sz w:val="18"/>
          <w:szCs w:val="18"/>
        </w:rPr>
      </w:pPr>
      <w:r w:rsidRPr="005E5437">
        <w:rPr>
          <w:rFonts w:ascii="Arial" w:eastAsia="Arial" w:hAnsi="Arial" w:cs="Arial"/>
          <w:color w:val="000000"/>
          <w:sz w:val="18"/>
          <w:szCs w:val="18"/>
          <w:vertAlign w:val="superscript"/>
        </w:rPr>
        <w:t>4</w:t>
      </w:r>
      <w:r>
        <w:rPr>
          <w:rFonts w:ascii="Arial" w:eastAsia="Arial" w:hAnsi="Arial" w:cs="Arial"/>
          <w:color w:val="000000"/>
          <w:sz w:val="18"/>
          <w:szCs w:val="18"/>
          <w:vertAlign w:val="superscript"/>
        </w:rPr>
        <w:t xml:space="preserve">    </w:t>
      </w:r>
      <w:r>
        <w:rPr>
          <w:rFonts w:ascii="Arial" w:eastAsia="Arial" w:hAnsi="Arial" w:cs="Arial"/>
          <w:color w:val="000000"/>
          <w:sz w:val="18"/>
          <w:szCs w:val="18"/>
        </w:rPr>
        <w:t xml:space="preserve">Universitas </w:t>
      </w:r>
      <w:proofErr w:type="spellStart"/>
      <w:r>
        <w:rPr>
          <w:rFonts w:ascii="Arial" w:eastAsia="Arial" w:hAnsi="Arial" w:cs="Arial"/>
          <w:color w:val="000000"/>
          <w:sz w:val="18"/>
          <w:szCs w:val="18"/>
        </w:rPr>
        <w:t>Mbojo</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Bima</w:t>
      </w:r>
      <w:proofErr w:type="spellEnd"/>
      <w:r>
        <w:rPr>
          <w:rFonts w:ascii="Arial" w:eastAsia="Arial" w:hAnsi="Arial" w:cs="Arial"/>
          <w:color w:val="000000"/>
          <w:sz w:val="18"/>
          <w:szCs w:val="18"/>
        </w:rPr>
        <w:t xml:space="preserve"> 4; </w:t>
      </w:r>
      <w:hyperlink r:id="rId12" w:history="1">
        <w:r w:rsidRPr="00E41D2F">
          <w:rPr>
            <w:rStyle w:val="Hyperlink"/>
            <w:rFonts w:ascii="Arial" w:eastAsia="Arial" w:hAnsi="Arial" w:cs="Arial"/>
            <w:sz w:val="18"/>
            <w:szCs w:val="18"/>
          </w:rPr>
          <w:t>masud@stisipbima.ac.id</w:t>
        </w:r>
      </w:hyperlink>
    </w:p>
    <w:p w14:paraId="42F66E45" w14:textId="319FD2FF" w:rsidR="005E5437" w:rsidRDefault="005E5437">
      <w:pPr>
        <w:pBdr>
          <w:top w:val="nil"/>
          <w:left w:val="nil"/>
          <w:bottom w:val="nil"/>
          <w:right w:val="nil"/>
          <w:between w:val="nil"/>
        </w:pBdr>
        <w:spacing w:after="0"/>
        <w:ind w:left="311" w:hanging="198"/>
        <w:rPr>
          <w:rFonts w:ascii="Arial" w:eastAsia="Arial" w:hAnsi="Arial" w:cs="Arial"/>
          <w:color w:val="000000"/>
          <w:sz w:val="18"/>
          <w:szCs w:val="18"/>
        </w:rPr>
      </w:pPr>
      <w:r w:rsidRPr="005E5437">
        <w:rPr>
          <w:rFonts w:ascii="Arial" w:eastAsia="Arial" w:hAnsi="Arial" w:cs="Arial"/>
          <w:color w:val="000000"/>
          <w:sz w:val="18"/>
          <w:szCs w:val="18"/>
          <w:vertAlign w:val="superscript"/>
        </w:rPr>
        <w:t>5</w:t>
      </w:r>
      <w:r>
        <w:rPr>
          <w:rFonts w:ascii="Arial" w:eastAsia="Arial" w:hAnsi="Arial" w:cs="Arial"/>
          <w:color w:val="000000"/>
          <w:sz w:val="18"/>
          <w:szCs w:val="18"/>
          <w:vertAlign w:val="superscript"/>
        </w:rPr>
        <w:t xml:space="preserve">    </w:t>
      </w:r>
      <w:r>
        <w:rPr>
          <w:rFonts w:ascii="Arial" w:eastAsia="Arial" w:hAnsi="Arial" w:cs="Arial"/>
          <w:color w:val="000000"/>
          <w:sz w:val="18"/>
          <w:szCs w:val="18"/>
        </w:rPr>
        <w:t xml:space="preserve">Universitas </w:t>
      </w:r>
      <w:proofErr w:type="spellStart"/>
      <w:r>
        <w:rPr>
          <w:rFonts w:ascii="Arial" w:eastAsia="Arial" w:hAnsi="Arial" w:cs="Arial"/>
          <w:color w:val="000000"/>
          <w:sz w:val="18"/>
          <w:szCs w:val="18"/>
        </w:rPr>
        <w:t>Mbojo</w:t>
      </w:r>
      <w:proofErr w:type="spellEnd"/>
      <w:r>
        <w:rPr>
          <w:rFonts w:ascii="Arial" w:eastAsia="Arial" w:hAnsi="Arial" w:cs="Arial"/>
          <w:color w:val="000000"/>
          <w:sz w:val="18"/>
          <w:szCs w:val="18"/>
        </w:rPr>
        <w:t xml:space="preserve"> </w:t>
      </w:r>
      <w:proofErr w:type="spellStart"/>
      <w:r>
        <w:rPr>
          <w:rFonts w:ascii="Arial" w:eastAsia="Arial" w:hAnsi="Arial" w:cs="Arial"/>
          <w:color w:val="000000"/>
          <w:sz w:val="18"/>
          <w:szCs w:val="18"/>
        </w:rPr>
        <w:t>Bima</w:t>
      </w:r>
      <w:proofErr w:type="spellEnd"/>
      <w:r>
        <w:rPr>
          <w:rFonts w:ascii="Arial" w:eastAsia="Arial" w:hAnsi="Arial" w:cs="Arial"/>
          <w:color w:val="000000"/>
          <w:sz w:val="18"/>
          <w:szCs w:val="18"/>
        </w:rPr>
        <w:t xml:space="preserve"> 5; </w:t>
      </w:r>
      <w:hyperlink r:id="rId13" w:history="1">
        <w:r w:rsidR="00E0317E" w:rsidRPr="00E41D2F">
          <w:rPr>
            <w:rStyle w:val="Hyperlink"/>
            <w:rFonts w:ascii="Arial" w:eastAsia="Arial" w:hAnsi="Arial" w:cs="Arial"/>
            <w:sz w:val="18"/>
            <w:szCs w:val="18"/>
          </w:rPr>
          <w:t>kasman.saf123@gmail.com</w:t>
        </w:r>
      </w:hyperlink>
    </w:p>
    <w:p w14:paraId="1690DB4C" w14:textId="53E14B5A" w:rsidR="00483189" w:rsidRDefault="00031F18">
      <w:pPr>
        <w:pBdr>
          <w:top w:val="nil"/>
          <w:left w:val="nil"/>
          <w:bottom w:val="nil"/>
          <w:right w:val="nil"/>
          <w:between w:val="nil"/>
        </w:pBdr>
        <w:spacing w:after="0"/>
        <w:ind w:left="311" w:hanging="198"/>
        <w:rPr>
          <w:rFonts w:ascii="Arial" w:eastAsia="Arial" w:hAnsi="Arial" w:cs="Arial"/>
          <w:color w:val="000000"/>
          <w:sz w:val="18"/>
          <w:szCs w:val="18"/>
        </w:rPr>
      </w:pPr>
      <w:r>
        <w:rPr>
          <w:rFonts w:ascii="Arial" w:eastAsia="Arial" w:hAnsi="Arial" w:cs="Arial"/>
          <w:color w:val="000000"/>
          <w:sz w:val="18"/>
          <w:szCs w:val="18"/>
        </w:rPr>
        <w:tab/>
      </w:r>
      <w:r w:rsidR="00427C61">
        <w:rPr>
          <w:rFonts w:ascii="Arial" w:eastAsia="Arial" w:hAnsi="Arial" w:cs="Arial"/>
          <w:color w:val="000000"/>
          <w:sz w:val="18"/>
          <w:szCs w:val="18"/>
        </w:rPr>
        <w:t>*</w:t>
      </w:r>
      <w:r>
        <w:rPr>
          <w:rFonts w:ascii="Arial" w:eastAsia="Arial" w:hAnsi="Arial" w:cs="Arial"/>
          <w:color w:val="000000"/>
          <w:sz w:val="18"/>
          <w:szCs w:val="18"/>
        </w:rPr>
        <w:t xml:space="preserve">Correspondence: </w:t>
      </w:r>
      <w:hyperlink r:id="rId14" w:history="1">
        <w:r w:rsidR="00E0317E" w:rsidRPr="00E41D2F">
          <w:rPr>
            <w:rStyle w:val="Hyperlink"/>
            <w:rFonts w:ascii="Arial" w:eastAsia="Arial" w:hAnsi="Arial" w:cs="Arial"/>
            <w:sz w:val="18"/>
            <w:szCs w:val="18"/>
          </w:rPr>
          <w:t>Rennisartika17@gmail.com</w:t>
        </w:r>
      </w:hyperlink>
    </w:p>
    <w:p w14:paraId="4E39AC61" w14:textId="77777777" w:rsidR="00483189" w:rsidRDefault="00031F18">
      <w:pPr>
        <w:pBdr>
          <w:top w:val="nil"/>
          <w:left w:val="nil"/>
          <w:bottom w:val="nil"/>
          <w:right w:val="nil"/>
          <w:between w:val="nil"/>
        </w:pBdr>
        <w:spacing w:before="120" w:after="0"/>
        <w:ind w:left="113"/>
        <w:rPr>
          <w:rFonts w:ascii="Arial" w:eastAsia="Arial" w:hAnsi="Arial" w:cs="Arial"/>
          <w:color w:val="000000"/>
          <w:sz w:val="18"/>
          <w:szCs w:val="18"/>
        </w:rPr>
      </w:pPr>
      <w:r>
        <w:rPr>
          <w:rFonts w:ascii="Arial" w:eastAsia="Arial" w:hAnsi="Arial" w:cs="Arial"/>
          <w:color w:val="000000"/>
          <w:sz w:val="18"/>
          <w:szCs w:val="18"/>
        </w:rPr>
        <w:t>Received: date; Accepted: date; Published: date</w:t>
      </w:r>
    </w:p>
    <w:p w14:paraId="1596E0CE" w14:textId="77777777" w:rsidR="00483189" w:rsidRDefault="00483189">
      <w:pPr>
        <w:rPr>
          <w:rFonts w:ascii="Arial" w:eastAsia="Arial" w:hAnsi="Arial" w:cs="Arial"/>
        </w:rPr>
      </w:pPr>
    </w:p>
    <w:p w14:paraId="583AF0F6" w14:textId="1360F3C5" w:rsidR="00483189" w:rsidRPr="00321F52" w:rsidRDefault="00031F18" w:rsidP="00321F52">
      <w:pPr>
        <w:pBdr>
          <w:top w:val="nil"/>
          <w:left w:val="nil"/>
          <w:bottom w:val="nil"/>
          <w:right w:val="nil"/>
          <w:between w:val="nil"/>
        </w:pBdr>
        <w:spacing w:after="0"/>
        <w:ind w:left="113"/>
        <w:jc w:val="both"/>
        <w:rPr>
          <w:rFonts w:ascii="Arial" w:eastAsia="Arial" w:hAnsi="Arial" w:cs="Arial"/>
          <w:sz w:val="20"/>
          <w:szCs w:val="20"/>
        </w:rPr>
      </w:pPr>
      <w:bookmarkStart w:id="0" w:name="_heading=h.gjdgxs" w:colFirst="0" w:colLast="0"/>
      <w:bookmarkEnd w:id="0"/>
      <w:r>
        <w:rPr>
          <w:rFonts w:ascii="Arial" w:eastAsia="Arial" w:hAnsi="Arial" w:cs="Arial"/>
          <w:b/>
          <w:color w:val="000000"/>
          <w:sz w:val="20"/>
          <w:szCs w:val="20"/>
        </w:rPr>
        <w:t>Abstra</w:t>
      </w:r>
      <w:r w:rsidR="00321F52">
        <w:rPr>
          <w:rFonts w:ascii="Arial" w:eastAsia="Arial" w:hAnsi="Arial" w:cs="Arial"/>
          <w:b/>
          <w:color w:val="000000"/>
          <w:sz w:val="20"/>
          <w:szCs w:val="20"/>
        </w:rPr>
        <w:t>c</w:t>
      </w:r>
      <w:r w:rsidR="00321F52" w:rsidRPr="00321F52">
        <w:rPr>
          <w:rFonts w:ascii="Arial" w:eastAsia="Arial" w:hAnsi="Arial" w:cs="Arial"/>
          <w:b/>
          <w:sz w:val="20"/>
          <w:szCs w:val="20"/>
        </w:rPr>
        <w:t>t</w:t>
      </w:r>
      <w:r w:rsidRPr="00321F52">
        <w:rPr>
          <w:rFonts w:ascii="Arial" w:eastAsia="Arial" w:hAnsi="Arial" w:cs="Arial"/>
          <w:b/>
          <w:sz w:val="20"/>
          <w:szCs w:val="20"/>
        </w:rPr>
        <w:t xml:space="preserve">: </w:t>
      </w:r>
    </w:p>
    <w:p w14:paraId="41568C99" w14:textId="06377487" w:rsidR="00321F52" w:rsidRDefault="00C36459" w:rsidP="00321F52">
      <w:pPr>
        <w:pBdr>
          <w:top w:val="nil"/>
          <w:left w:val="nil"/>
          <w:bottom w:val="nil"/>
          <w:right w:val="nil"/>
          <w:between w:val="nil"/>
        </w:pBdr>
        <w:spacing w:after="0"/>
        <w:ind w:left="113"/>
        <w:jc w:val="both"/>
        <w:rPr>
          <w:rFonts w:ascii="Arial" w:eastAsia="Arial" w:hAnsi="Arial" w:cs="Arial"/>
          <w:sz w:val="20"/>
          <w:szCs w:val="20"/>
        </w:rPr>
      </w:pPr>
      <w:r w:rsidRPr="00C36459">
        <w:rPr>
          <w:rFonts w:ascii="Arial" w:eastAsia="Arial" w:hAnsi="Arial" w:cs="Arial"/>
          <w:sz w:val="20"/>
          <w:szCs w:val="20"/>
        </w:rPr>
        <w:t xml:space="preserve">This research critically examines the drug prevention strategies implemented by the administrative leadership of </w:t>
      </w:r>
      <w:proofErr w:type="spellStart"/>
      <w:r w:rsidRPr="00C36459">
        <w:rPr>
          <w:rFonts w:ascii="Arial" w:eastAsia="Arial" w:hAnsi="Arial" w:cs="Arial"/>
          <w:sz w:val="20"/>
          <w:szCs w:val="20"/>
        </w:rPr>
        <w:t>Sambinae</w:t>
      </w:r>
      <w:proofErr w:type="spellEnd"/>
      <w:r w:rsidRPr="00C36459">
        <w:rPr>
          <w:rFonts w:ascii="Arial" w:eastAsia="Arial" w:hAnsi="Arial" w:cs="Arial"/>
          <w:sz w:val="20"/>
          <w:szCs w:val="20"/>
        </w:rPr>
        <w:t xml:space="preserve"> Subdistrict and systematically identifies the primary obstacles influencing their efficacy. Employing a qualitative descriptive methodology, data were obtained through systematic observation, in-depth interviews, and the analysis of relevant documentation. The results indicate that the implemented strategies demonstrate considerable effectiveness, primarily attributable to robust inter-institutional collaboration involving the subdistrict administration, </w:t>
      </w:r>
      <w:proofErr w:type="spellStart"/>
      <w:r w:rsidRPr="00C36459">
        <w:rPr>
          <w:rFonts w:ascii="Arial" w:eastAsia="Arial" w:hAnsi="Arial" w:cs="Arial"/>
          <w:sz w:val="20"/>
          <w:szCs w:val="20"/>
        </w:rPr>
        <w:t>Bhabinkamtibmas</w:t>
      </w:r>
      <w:proofErr w:type="spellEnd"/>
      <w:r w:rsidRPr="00C36459">
        <w:rPr>
          <w:rFonts w:ascii="Arial" w:eastAsia="Arial" w:hAnsi="Arial" w:cs="Arial"/>
          <w:sz w:val="20"/>
          <w:szCs w:val="20"/>
        </w:rPr>
        <w:t xml:space="preserve">, </w:t>
      </w:r>
      <w:proofErr w:type="spellStart"/>
      <w:r w:rsidRPr="00C36459">
        <w:rPr>
          <w:rFonts w:ascii="Arial" w:eastAsia="Arial" w:hAnsi="Arial" w:cs="Arial"/>
          <w:sz w:val="20"/>
          <w:szCs w:val="20"/>
        </w:rPr>
        <w:t>Babinsa</w:t>
      </w:r>
      <w:proofErr w:type="spellEnd"/>
      <w:r w:rsidRPr="00C36459">
        <w:rPr>
          <w:rFonts w:ascii="Arial" w:eastAsia="Arial" w:hAnsi="Arial" w:cs="Arial"/>
          <w:sz w:val="20"/>
          <w:szCs w:val="20"/>
        </w:rPr>
        <w:t xml:space="preserve">, community leaders, religious authorities, and the National Narcotics Agency (BNN). The combined application of Soft Power, Hard Power, and Smart Power approaches significantly reinforces the overall impact of prevention initiatives. The optimal distribution of resources, including infrastructure, human capital, and financial support, as well as effective inter-agency coordination, further contribute to the success of these efforts. Nonetheless, several challenges persist, including inadequate human resources, geographical limitations, and insufficient community engagement. The legal framework provided by Law No. 35 of 2009, alongside informal educational interventions such as the Anti-Drug Peer Youth Program, play an essential role in enhancing public awareness. Sustained multisectoral cooperation is identified as a critical determinant in ensuring the long-term effectiveness of drug prevention measures within </w:t>
      </w:r>
      <w:proofErr w:type="spellStart"/>
      <w:r w:rsidRPr="00C36459">
        <w:rPr>
          <w:rFonts w:ascii="Arial" w:eastAsia="Arial" w:hAnsi="Arial" w:cs="Arial"/>
          <w:sz w:val="20"/>
          <w:szCs w:val="20"/>
        </w:rPr>
        <w:t>Sambinae</w:t>
      </w:r>
      <w:proofErr w:type="spellEnd"/>
      <w:r w:rsidRPr="00C36459">
        <w:rPr>
          <w:rFonts w:ascii="Arial" w:eastAsia="Arial" w:hAnsi="Arial" w:cs="Arial"/>
          <w:sz w:val="20"/>
          <w:szCs w:val="20"/>
        </w:rPr>
        <w:t xml:space="preserve"> Subdistrict.</w:t>
      </w:r>
      <w:r>
        <w:rPr>
          <w:rFonts w:ascii="Arial" w:eastAsia="Arial" w:hAnsi="Arial" w:cs="Arial"/>
          <w:sz w:val="20"/>
          <w:szCs w:val="20"/>
        </w:rPr>
        <w:t xml:space="preserve"> </w:t>
      </w:r>
    </w:p>
    <w:p w14:paraId="0CFA1F7E" w14:textId="77777777" w:rsidR="009B48B5" w:rsidRDefault="009B48B5" w:rsidP="00321F52">
      <w:pPr>
        <w:pBdr>
          <w:top w:val="nil"/>
          <w:left w:val="nil"/>
          <w:bottom w:val="nil"/>
          <w:right w:val="nil"/>
          <w:between w:val="nil"/>
        </w:pBdr>
        <w:spacing w:after="0"/>
        <w:ind w:left="113"/>
        <w:jc w:val="both"/>
        <w:rPr>
          <w:rFonts w:ascii="Arial" w:eastAsia="Arial" w:hAnsi="Arial" w:cs="Arial"/>
          <w:color w:val="000000"/>
          <w:sz w:val="20"/>
          <w:szCs w:val="20"/>
        </w:rPr>
      </w:pPr>
    </w:p>
    <w:p w14:paraId="07F929CC" w14:textId="77777777" w:rsidR="00A132C5" w:rsidRPr="00E233BA" w:rsidRDefault="00A132C5" w:rsidP="007F5C4E">
      <w:pPr>
        <w:pBdr>
          <w:top w:val="nil"/>
          <w:left w:val="nil"/>
          <w:bottom w:val="nil"/>
          <w:right w:val="nil"/>
          <w:between w:val="nil"/>
        </w:pBdr>
        <w:spacing w:after="0"/>
        <w:jc w:val="both"/>
        <w:rPr>
          <w:rFonts w:ascii="Arial" w:eastAsia="Arial" w:hAnsi="Arial" w:cs="Arial"/>
          <w:b/>
          <w:color w:val="000000"/>
          <w:sz w:val="20"/>
          <w:szCs w:val="20"/>
        </w:rPr>
      </w:pPr>
      <w:r>
        <w:rPr>
          <w:rFonts w:ascii="Arial" w:eastAsia="Arial" w:hAnsi="Arial" w:cs="Arial"/>
          <w:b/>
          <w:color w:val="000000"/>
          <w:sz w:val="20"/>
          <w:szCs w:val="20"/>
        </w:rPr>
        <w:t xml:space="preserve">  </w:t>
      </w:r>
      <w:r w:rsidRPr="00E233BA">
        <w:rPr>
          <w:rFonts w:ascii="Arial" w:eastAsia="Arial" w:hAnsi="Arial" w:cs="Arial"/>
          <w:b/>
          <w:color w:val="000000"/>
          <w:sz w:val="20"/>
          <w:szCs w:val="20"/>
        </w:rPr>
        <w:t>Keywords: Prevention, strategies, Multisectoral, drug circulation.</w:t>
      </w:r>
    </w:p>
    <w:p w14:paraId="5934D383" w14:textId="13B453A2" w:rsidR="00483189" w:rsidRPr="00A132C5" w:rsidRDefault="00A132C5" w:rsidP="007F5C4E">
      <w:pPr>
        <w:pBdr>
          <w:top w:val="nil"/>
          <w:left w:val="nil"/>
          <w:bottom w:val="nil"/>
          <w:right w:val="nil"/>
          <w:between w:val="nil"/>
        </w:pBdr>
        <w:spacing w:after="0"/>
        <w:jc w:val="both"/>
        <w:rPr>
          <w:rFonts w:ascii="Arial" w:eastAsia="Arial" w:hAnsi="Arial" w:cs="Arial"/>
          <w:bCs/>
          <w:color w:val="000000"/>
          <w:sz w:val="20"/>
          <w:szCs w:val="20"/>
        </w:rPr>
      </w:pPr>
      <w:r w:rsidRPr="00E233BA">
        <w:rPr>
          <w:rFonts w:ascii="Arial" w:eastAsia="Arial" w:hAnsi="Arial" w:cs="Arial"/>
          <w:b/>
          <w:color w:val="000000"/>
          <w:sz w:val="20"/>
          <w:szCs w:val="20"/>
        </w:rPr>
        <w:t xml:space="preserve"> </w:t>
      </w:r>
      <w:r w:rsidR="007F5C4E" w:rsidRPr="00E233BA">
        <w:rPr>
          <w:rFonts w:ascii="Arial" w:eastAsia="Arial" w:hAnsi="Arial" w:cs="Arial"/>
          <w:b/>
          <w:color w:val="000000"/>
          <w:sz w:val="20"/>
          <w:szCs w:val="20"/>
        </w:rPr>
        <w:t xml:space="preserve"> </w:t>
      </w:r>
      <w:r w:rsidR="007F5C4E" w:rsidRPr="00A132C5">
        <w:rPr>
          <w:rFonts w:ascii="Arial" w:eastAsia="Arial" w:hAnsi="Arial" w:cs="Arial"/>
          <w:bCs/>
          <w:color w:val="000000"/>
          <w:sz w:val="20"/>
          <w:szCs w:val="20"/>
        </w:rPr>
        <w:t xml:space="preserve"> </w:t>
      </w:r>
    </w:p>
    <w:p w14:paraId="065D2536" w14:textId="77777777" w:rsidR="00E0317E" w:rsidRDefault="00E0317E" w:rsidP="009B48B5">
      <w:pPr>
        <w:numPr>
          <w:ilvl w:val="0"/>
          <w:numId w:val="1"/>
        </w:numPr>
        <w:pBdr>
          <w:top w:val="nil"/>
          <w:left w:val="nil"/>
          <w:bottom w:val="nil"/>
          <w:right w:val="nil"/>
          <w:between w:val="nil"/>
        </w:pBdr>
        <w:spacing w:after="0" w:line="480" w:lineRule="auto"/>
        <w:ind w:left="567"/>
        <w:rPr>
          <w:rFonts w:ascii="Arial" w:eastAsia="Arial" w:hAnsi="Arial" w:cs="Arial"/>
          <w:b/>
          <w:color w:val="000000"/>
          <w:sz w:val="20"/>
          <w:szCs w:val="20"/>
        </w:rPr>
      </w:pPr>
      <w:r>
        <w:rPr>
          <w:rFonts w:ascii="Arial" w:eastAsia="Arial" w:hAnsi="Arial" w:cs="Arial"/>
          <w:b/>
          <w:color w:val="000000"/>
          <w:sz w:val="20"/>
          <w:szCs w:val="20"/>
        </w:rPr>
        <w:t>Introduction</w:t>
      </w:r>
    </w:p>
    <w:p w14:paraId="6315D905" w14:textId="05BABBB9" w:rsidR="000F0085" w:rsidRPr="009B48B5" w:rsidRDefault="00C36459" w:rsidP="009B48B5">
      <w:pPr>
        <w:pStyle w:val="JW37itemize"/>
        <w:numPr>
          <w:ilvl w:val="0"/>
          <w:numId w:val="0"/>
        </w:numPr>
        <w:spacing w:line="480" w:lineRule="auto"/>
        <w:ind w:firstLine="709"/>
        <w:rPr>
          <w:rFonts w:ascii="Arial" w:hAnsi="Arial" w:cs="Arial"/>
          <w:color w:val="auto"/>
          <w:szCs w:val="20"/>
        </w:rPr>
      </w:pPr>
      <w:r w:rsidRPr="009B48B5">
        <w:rPr>
          <w:rFonts w:ascii="Arial" w:hAnsi="Arial" w:cs="Arial"/>
          <w:color w:val="auto"/>
          <w:szCs w:val="20"/>
        </w:rPr>
        <w:t xml:space="preserve">The government occupies a fundamental and irreplaceable position in addressing the circulation of narcotics within the Republic of Indonesia </w:t>
      </w:r>
      <w:r w:rsidR="00276FC7" w:rsidRPr="009B48B5">
        <w:rPr>
          <w:rFonts w:ascii="Arial" w:hAnsi="Arial" w:cs="Arial"/>
          <w:color w:val="auto"/>
          <w:szCs w:val="20"/>
        </w:rPr>
        <w:fldChar w:fldCharType="begin" w:fldLock="1"/>
      </w:r>
      <w:r w:rsidR="00276FC7" w:rsidRPr="009B48B5">
        <w:rPr>
          <w:rFonts w:ascii="Arial" w:hAnsi="Arial" w:cs="Arial"/>
          <w:color w:val="auto"/>
          <w:szCs w:val="20"/>
        </w:rPr>
        <w:instrText>ADDIN CSL_CITATION {"citationItems":[{"id":"ITEM-1","itemData":{"DOI":"10.37680/almanhaj.v4i2.1860","ISSN":"2686-1607","abstract":"Currently, the circulation of narcotics in Indonesia has penetrated almost all elements of society, starting from the elite, politicians, public figures, students and university students. This condition is certainly very concerning because the use of narcotics can affect the patient's feelings, thoughts and awareness. Narcotics which were originally only used for medical purposes as anesthetics and painkillers or painkillers, are now widely misused. Narcotics and psychotherapy crimes are serious crimes against humanity. Rehabilitation is a repressive measure carried out for drug addicts. Rehabilitation measures are aimed at victims of narcotics abuse to restore the physical, mental, and social abilities of the sufferer concerned, with the hope that the addict can recover from his addiction to narcotics. Indonesia is a state of law, showing evidence of seriousness in tackling narcotics abuse with the issuance of Law No. 35 of 2009 concerning Narcotics which regulates efforts to eradicate narcotics crimes through threats of fines, imprisonment, life imprisonment, and death sentences and regulates the use of narcotics. for the benefit of treatment and health and regulates medical and social rehabilitation. This research uses a normative method, based on a literature study. Information is obtained from various literatures and compiled based on the results of the study from the information obtained. The primary legal materials used are; Law Number 35 of 2009 concerning Narcotics, Joint Regulation of the Chairman of the Supreme Court of the Republic of Indonesia Minister of Law and Human Rights of the Republic of Indonesia Minister of Health of the Republic of Indonesia Minister of Social Affairs of the Republic of Indonesia Attorney General of the Republic of Indonesia Head of the National Police of the Republic of Indonesia Head of the National Narcotics Agency of the Republic of Indonesia Number 01 /Pb/Ma/III/2014 Number 03 of 2014 Number 11 of 2014 Number 03 of 2014 Number Per-005/A/Ja/03/2014 Number 1 of 2014 Number Perber/01/III/2014/Bnn concerning Handling of Narcotics Addicts and Victims of Narcotics Abuse Into Rehabilitation Institutions. Meanwhile, secondary legal materials cover all principles, provisions, and legal technical procedures, both in laws and regulations, agreements and legal searches (doctrine) and literature. The collected legal materials are selected and sorted according to the topic of study to be analyzed using descriptive and argu…","author":[{"dropping-particle":"","family":"Bumi","given":"Salyo Kinasih","non-dropping-particle":"","parse-names":false,"suffix":""},{"dropping-particle":"","family":"Supolo","given":"Supolo","non-dropping-particle":"","parse-names":false,"suffix":""},{"dropping-particle":"","family":"Nugroho","given":"Bastianto","non-dropping-particle":"","parse-names":false,"suffix":""}],"container-title":"AL-MANHAJ: Jurnal Hukum dan Pranata Sosial Islam","id":"ITEM-1","issue":"2","issued":{"date-parts":[["2022"]]},"page":"351-364","title":"Perlindungan Hukum Terhadap Korban Penyalahgunaan Narkotika","type":"article-journal","volume":"4"},"uris":["http://www.mendeley.com/documents/?uuid=7f9a1592-3471-44b6-8ad7-db5323eb965f"]}],"mendeley":{"formattedCitation":"(Bumi et al., 2022)","plainTextFormattedCitation":"(Bumi et al., 2022)","previouslyFormattedCitation":"(Bumi et al., 2022)"},"properties":{"noteIndex":0},"schema":"https://github.com/citation-style-language/schema/raw/master/csl-citation.json"}</w:instrText>
      </w:r>
      <w:r w:rsidR="00276FC7" w:rsidRPr="009B48B5">
        <w:rPr>
          <w:rFonts w:ascii="Arial" w:hAnsi="Arial" w:cs="Arial"/>
          <w:color w:val="auto"/>
          <w:szCs w:val="20"/>
        </w:rPr>
        <w:fldChar w:fldCharType="separate"/>
      </w:r>
      <w:r w:rsidR="00276FC7" w:rsidRPr="009B48B5">
        <w:rPr>
          <w:rFonts w:ascii="Arial" w:hAnsi="Arial" w:cs="Arial"/>
          <w:noProof/>
          <w:color w:val="auto"/>
          <w:szCs w:val="20"/>
        </w:rPr>
        <w:t>(Bumi et al., 2022)</w:t>
      </w:r>
      <w:r w:rsidR="00276FC7" w:rsidRPr="009B48B5">
        <w:rPr>
          <w:rFonts w:ascii="Arial" w:hAnsi="Arial" w:cs="Arial"/>
          <w:color w:val="auto"/>
          <w:szCs w:val="20"/>
        </w:rPr>
        <w:fldChar w:fldCharType="end"/>
      </w:r>
      <w:r w:rsidR="000F0085" w:rsidRPr="009B48B5">
        <w:rPr>
          <w:rFonts w:ascii="Arial" w:hAnsi="Arial" w:cs="Arial"/>
          <w:color w:val="auto"/>
          <w:szCs w:val="20"/>
        </w:rPr>
        <w:t xml:space="preserve">. </w:t>
      </w:r>
      <w:r w:rsidRPr="009B48B5">
        <w:rPr>
          <w:rFonts w:ascii="Arial" w:hAnsi="Arial" w:cs="Arial"/>
          <w:color w:val="auto"/>
          <w:szCs w:val="20"/>
        </w:rPr>
        <w:t xml:space="preserve">This role extends to the formulation and execution of assertive policies that </w:t>
      </w:r>
      <w:proofErr w:type="spellStart"/>
      <w:r w:rsidRPr="009B48B5">
        <w:rPr>
          <w:rFonts w:ascii="Arial" w:hAnsi="Arial" w:cs="Arial"/>
          <w:color w:val="auto"/>
          <w:szCs w:val="20"/>
        </w:rPr>
        <w:t>prioritise</w:t>
      </w:r>
      <w:proofErr w:type="spellEnd"/>
      <w:r w:rsidRPr="009B48B5">
        <w:rPr>
          <w:rFonts w:ascii="Arial" w:hAnsi="Arial" w:cs="Arial"/>
          <w:color w:val="auto"/>
          <w:szCs w:val="20"/>
        </w:rPr>
        <w:t xml:space="preserve"> both prevention and rehabilitation </w:t>
      </w:r>
      <w:r w:rsidR="00276FC7" w:rsidRPr="009B48B5">
        <w:rPr>
          <w:rFonts w:ascii="Arial" w:hAnsi="Arial" w:cs="Arial"/>
          <w:color w:val="auto"/>
          <w:szCs w:val="20"/>
        </w:rPr>
        <w:fldChar w:fldCharType="begin" w:fldLock="1"/>
      </w:r>
      <w:r w:rsidR="00276FC7" w:rsidRPr="009B48B5">
        <w:rPr>
          <w:rFonts w:ascii="Arial" w:hAnsi="Arial" w:cs="Arial"/>
          <w:color w:val="auto"/>
          <w:szCs w:val="20"/>
        </w:rPr>
        <w:instrText>ADDIN CSL_CITATION {"citationItems":[{"id":"ITEM-1","itemData":{"ISSN":"17501326","PMID":"30541602","abstract":"Alzheimer's Disease (AD), the most prevalent neurodegenerative disease of aging, affects one in eight older Americans. Nearly all drug treatments tested for AD today have failed to show any efficacy. There is a great need for therapies to prevent and/or slow the progression of AD. The major challenge in AD drug development is lack of clarity about the mechanisms underlying AD pathogenesis and pathophysiology. Several studies support the notion that AD is a multifactorial disease. While there is abundant evidence that amyloid plays a role in AD pathogenesis, other mechanisms have been implicated in AD such as tangle formation and spread, dysregulated protein degradation pathways, neuroinflammation, and loss of support by neurotrophic factors. Therefore, current paradigms of AD drug design have been shifted from single target approach (primarily amyloid-centric) to developing drugs targeted at multiple disease aspects, and from treating AD at later stages of disease progression to focusing on preventive strategies at early stages of disease development. Here, we summarize current strategies and new trends of AD drug development, including pre-clinical and clinical trials that target different aspects of disease (mechanism-based versus non-mechanism based, e.g. symptomatic treatments, lifestyle modifications and risk factor management).","author":[{"dropping-particle":"","family":"Cao","given":"Jiqing","non-dropping-particle":"","parse-names":false,"suffix":""},{"dropping-particle":"","family":"Hou","given":"Jianwei","non-dropping-particle":"","parse-names":false,"suffix":""},{"dropping-particle":"","family":"Ping","given":"Jing","non-dropping-particle":"","parse-names":false,"suffix":""},{"dropping-particle":"","family":"Cai","given":"Dongming","non-dropping-particle":"","parse-names":false,"suffix":""}],"container-title":"Molecular Neurodegeneration","id":"ITEM-1","issue":"1","issued":{"date-parts":[["2018"]]},"page":"1-20","publisher":"Molecular Neurodegeneration","title":"Advances in developing novel therapeutic strategies for Alzheimer's disease 11 Medical and Health Sciences 1109 Neurosciences","type":"article-journal","volume":"13"},"uris":["http://www.mendeley.com/documents/?uuid=37feb7fd-08a9-4e82-89b0-d08b0b72bae0"]}],"mendeley":{"formattedCitation":"(Cao et al., 2018)","plainTextFormattedCitation":"(Cao et al., 2018)","previouslyFormattedCitation":"(Cao et al., 2018)"},"properties":{"noteIndex":0},"schema":"https://github.com/citation-style-language/schema/raw/master/csl-citation.json"}</w:instrText>
      </w:r>
      <w:r w:rsidR="00276FC7" w:rsidRPr="009B48B5">
        <w:rPr>
          <w:rFonts w:ascii="Arial" w:hAnsi="Arial" w:cs="Arial"/>
          <w:color w:val="auto"/>
          <w:szCs w:val="20"/>
        </w:rPr>
        <w:fldChar w:fldCharType="separate"/>
      </w:r>
      <w:r w:rsidR="00276FC7" w:rsidRPr="009B48B5">
        <w:rPr>
          <w:rFonts w:ascii="Arial" w:hAnsi="Arial" w:cs="Arial"/>
          <w:noProof/>
          <w:color w:val="auto"/>
          <w:szCs w:val="20"/>
        </w:rPr>
        <w:t>(Cao et al., 2018)</w:t>
      </w:r>
      <w:r w:rsidR="00276FC7" w:rsidRPr="009B48B5">
        <w:rPr>
          <w:rFonts w:ascii="Arial" w:hAnsi="Arial" w:cs="Arial"/>
          <w:color w:val="auto"/>
          <w:szCs w:val="20"/>
        </w:rPr>
        <w:fldChar w:fldCharType="end"/>
      </w:r>
      <w:r w:rsidR="00276FC7" w:rsidRPr="009B48B5">
        <w:rPr>
          <w:rFonts w:ascii="Arial" w:hAnsi="Arial" w:cs="Arial"/>
          <w:color w:val="auto"/>
          <w:szCs w:val="20"/>
        </w:rPr>
        <w:t xml:space="preserve">; </w:t>
      </w:r>
      <w:r w:rsidR="00276FC7" w:rsidRPr="009B48B5">
        <w:rPr>
          <w:rFonts w:ascii="Arial" w:hAnsi="Arial" w:cs="Arial"/>
          <w:color w:val="auto"/>
          <w:szCs w:val="20"/>
        </w:rPr>
        <w:fldChar w:fldCharType="begin" w:fldLock="1"/>
      </w:r>
      <w:r w:rsidR="00276FC7" w:rsidRPr="009B48B5">
        <w:rPr>
          <w:rFonts w:ascii="Arial" w:hAnsi="Arial" w:cs="Arial"/>
          <w:color w:val="auto"/>
          <w:szCs w:val="20"/>
        </w:rPr>
        <w:instrText>ADDIN CSL_CITATION {"citationItems":[{"id":"ITEM-1","itemData":{"author":[{"dropping-particle":"","family":"Daria","given":"Mikhailova","non-dropping-particle":"","parse-names":false,"suffix":""},{"dropping-particle":"","family":"Olesia","given":"Karakulina","non-dropping-particle":"","parse-names":false,"suffix":""},{"dropping-particle":"","family":"Dmitry","given":"Batuk","non-dropping-particle":"","parse-names":false,"suffix":""},{"dropping-particle":"","family":"Joke","given":"Hadermann","non-dropping-particle":"","parse-names":false,"suffix":""},{"dropping-particle":"","family":"M","given":"Abakumov Artem","non-dropping-particle":"","parse-names":false,"suffix":""},{"dropping-particle":"","family":"Markus","given":"Herklotz","non-dropping-particle":"","parse-names":false,"suffix":""},{"dropping-particle":"","family":"A","given":"Tsirlin Alexander","non-dropping-particle":"","parse-names":false,"suffix":""}],"id":"ITEM-1","issued":{"date-parts":[["2016"]]},"page":"7079-7089","title":"This item is the archived peer-reviewed author-version of : Reference :","type":"article-journal","volume":"14"},"uris":["http://www.mendeley.com/documents/?uuid=b424ecef-5918-483b-8aa0-fb0c8062185d"]}],"mendeley":{"formattedCitation":"(Daria et al., 2016)","plainTextFormattedCitation":"(Daria et al., 2016)","previouslyFormattedCitation":"(Daria et al., 2016)"},"properties":{"noteIndex":0},"schema":"https://github.com/citation-style-language/schema/raw/master/csl-citation.json"}</w:instrText>
      </w:r>
      <w:r w:rsidR="00276FC7" w:rsidRPr="009B48B5">
        <w:rPr>
          <w:rFonts w:ascii="Arial" w:hAnsi="Arial" w:cs="Arial"/>
          <w:color w:val="auto"/>
          <w:szCs w:val="20"/>
        </w:rPr>
        <w:fldChar w:fldCharType="separate"/>
      </w:r>
      <w:r w:rsidR="00276FC7" w:rsidRPr="009B48B5">
        <w:rPr>
          <w:rFonts w:ascii="Arial" w:hAnsi="Arial" w:cs="Arial"/>
          <w:noProof/>
          <w:color w:val="auto"/>
          <w:szCs w:val="20"/>
        </w:rPr>
        <w:t>(Daria et al., 2016)</w:t>
      </w:r>
      <w:r w:rsidR="00276FC7" w:rsidRPr="009B48B5">
        <w:rPr>
          <w:rFonts w:ascii="Arial" w:hAnsi="Arial" w:cs="Arial"/>
          <w:color w:val="auto"/>
          <w:szCs w:val="20"/>
        </w:rPr>
        <w:fldChar w:fldCharType="end"/>
      </w:r>
      <w:r w:rsidR="00276FC7" w:rsidRPr="009B48B5">
        <w:rPr>
          <w:rFonts w:ascii="Arial" w:hAnsi="Arial" w:cs="Arial"/>
          <w:color w:val="auto"/>
          <w:szCs w:val="20"/>
        </w:rPr>
        <w:t xml:space="preserve">; </w:t>
      </w:r>
      <w:r w:rsidR="00276FC7" w:rsidRPr="009B48B5">
        <w:rPr>
          <w:rFonts w:ascii="Arial" w:hAnsi="Arial" w:cs="Arial"/>
          <w:color w:val="auto"/>
          <w:szCs w:val="20"/>
        </w:rPr>
        <w:fldChar w:fldCharType="begin" w:fldLock="1"/>
      </w:r>
      <w:r w:rsidR="00276FC7" w:rsidRPr="009B48B5">
        <w:rPr>
          <w:rFonts w:ascii="Arial" w:hAnsi="Arial" w:cs="Arial"/>
          <w:color w:val="auto"/>
          <w:szCs w:val="20"/>
        </w:rPr>
        <w:instrText>ADDIN CSL_CITATION {"citationItems":[{"id":"ITEM-1","itemData":{"DOI":"10.54648/EERR2019026","ISSN":"18758223","abstract":"This article explores the incremental role of criminalization and crime control in European Union (EU) foreign policy and external action. Protecting Europe from dangerous or unwanted mobility has come to drive the EU’s relations with Africa. Consequently, the EU’s liberal state-building agenda (promoting peace, democracy and human rights) seems to be increasingly accompanied or even sometimes supplanted by illiberal practices (criminalization, policing, surveillance, border security and militarization). Based on fieldwork in Niger, Mali and Senegal, the article investigates how West African countries’ internal security apparatuses and borders are increasingly becoming a main target sector for European assistance. Yet scrutinizing policy implementation reveals that some European crime definitions and control models are locally resisted and contribute to greater insecurity by upsetting fragile micro-political stability. As such, the article problematizes the compatibility of European and African security, and argues for a collaborative engagement between Criminology and International Relations (IR) in analysing the EU’s emerging global crime-fighting role.","author":[{"dropping-particle":"","family":"Stambøl","given":"Eva Magdalena","non-dropping-particle":"","parse-names":false,"suffix":""}],"container-title":"European Foreign Affairs Review","id":"ITEM-1","issue":"3","issued":{"date-parts":[["2019"]]},"page":"287-307","title":"The Rise of Crimefare Europe: Fighting Migrant Smuggling in West Africa","type":"article-journal","volume":"24"},"uris":["http://www.mendeley.com/documents/?uuid=5b8a3204-1d1d-40ac-aa40-dc912ad9fd33"]}],"mendeley":{"formattedCitation":"(Stambøl, 2019)","plainTextFormattedCitation":"(Stambøl, 2019)","previouslyFormattedCitation":"(Stambøl, 2019)"},"properties":{"noteIndex":0},"schema":"https://github.com/citation-style-language/schema/raw/master/csl-citation.json"}</w:instrText>
      </w:r>
      <w:r w:rsidR="00276FC7" w:rsidRPr="009B48B5">
        <w:rPr>
          <w:rFonts w:ascii="Arial" w:hAnsi="Arial" w:cs="Arial"/>
          <w:color w:val="auto"/>
          <w:szCs w:val="20"/>
        </w:rPr>
        <w:fldChar w:fldCharType="separate"/>
      </w:r>
      <w:r w:rsidR="00276FC7" w:rsidRPr="009B48B5">
        <w:rPr>
          <w:rFonts w:ascii="Arial" w:hAnsi="Arial" w:cs="Arial"/>
          <w:noProof/>
          <w:color w:val="auto"/>
          <w:szCs w:val="20"/>
        </w:rPr>
        <w:t>(Stambøl, 2019)</w:t>
      </w:r>
      <w:r w:rsidR="00276FC7" w:rsidRPr="009B48B5">
        <w:rPr>
          <w:rFonts w:ascii="Arial" w:hAnsi="Arial" w:cs="Arial"/>
          <w:color w:val="auto"/>
          <w:szCs w:val="20"/>
        </w:rPr>
        <w:fldChar w:fldCharType="end"/>
      </w:r>
      <w:r w:rsidR="000F0085" w:rsidRPr="009B48B5">
        <w:rPr>
          <w:rFonts w:ascii="Arial" w:hAnsi="Arial" w:cs="Arial"/>
          <w:color w:val="auto"/>
          <w:szCs w:val="20"/>
        </w:rPr>
        <w:t xml:space="preserve">. </w:t>
      </w:r>
      <w:r w:rsidRPr="009B48B5">
        <w:rPr>
          <w:rFonts w:ascii="Arial" w:hAnsi="Arial" w:cs="Arial"/>
          <w:color w:val="auto"/>
          <w:szCs w:val="20"/>
        </w:rPr>
        <w:t xml:space="preserve">The principal legal framework underpinning these efforts is embodied in Law No. 35 of 2009 on Narcotics, which provides regulatory instruments to limit access to illicit substances, impose strict legal sanctions for violations, and establish rehabilitation mechanisms based on humanitarian principles to support the recovery of drug users </w:t>
      </w:r>
      <w:r w:rsidR="00276FC7" w:rsidRPr="009B48B5">
        <w:rPr>
          <w:rFonts w:ascii="Arial" w:hAnsi="Arial" w:cs="Arial"/>
          <w:color w:val="auto"/>
          <w:szCs w:val="20"/>
        </w:rPr>
        <w:fldChar w:fldCharType="begin" w:fldLock="1"/>
      </w:r>
      <w:r w:rsidR="00E449FF" w:rsidRPr="009B48B5">
        <w:rPr>
          <w:rFonts w:ascii="Arial" w:hAnsi="Arial" w:cs="Arial"/>
          <w:color w:val="auto"/>
          <w:szCs w:val="20"/>
        </w:rPr>
        <w:instrText>ADDIN CSL_CITATION {"citationItems":[{"id":"ITEM-1","itemData":{"author":[{"dropping-particle":"","family":"Hulukati","given":"Yayuk Rizki","non-dropping-particle":"","parse-names":false,"suffix":""},{"dropping-particle":"","family":"Ismail","given":"Dian Ekawaty","non-dropping-particle":"","parse-names":false,"suffix":""},{"dropping-particle":"","family":"Nggilu","given":"Novendri M","non-dropping-particle":"","parse-names":false,"suffix":""}],"id":"ITEM-1","issue":"1","issued":{"date-parts":[["0"]]},"page":"16-30","title":"READING THE ABUSE OF NARCOTICS BY CIVIL STATE EMPLOYEES FROM THE PERSPECTIVE OF CRIMINILOGY STUDY Tentang Kode Etik Pegawai Negeri Sipil di Lingkungan Kementrian Dalam Negeri yang Pegawai Negeri Sipil sebagai abdi Negara dan abdi masyarakat yang dengan Re","type":"article-journal","volume":"15"},"uris":["http://www.mendeley.com/documents/?uuid=7ab58ffe-3f9e-4331-b581-77b8471c8940"]}],"mendeley":{"formattedCitation":"(Hulukati et al., n.d.)","manualFormatting":"(Hulukati et al., 2023.)","plainTextFormattedCitation":"(Hulukati et al., n.d.)","previouslyFormattedCitation":"(Hulukati et al., n.d.)"},"properties":{"noteIndex":0},"schema":"https://github.com/citation-style-language/schema/raw/master/csl-citation.json"}</w:instrText>
      </w:r>
      <w:r w:rsidR="00276FC7" w:rsidRPr="009B48B5">
        <w:rPr>
          <w:rFonts w:ascii="Arial" w:hAnsi="Arial" w:cs="Arial"/>
          <w:color w:val="auto"/>
          <w:szCs w:val="20"/>
        </w:rPr>
        <w:fldChar w:fldCharType="separate"/>
      </w:r>
      <w:r w:rsidR="00276FC7" w:rsidRPr="009B48B5">
        <w:rPr>
          <w:rFonts w:ascii="Arial" w:hAnsi="Arial" w:cs="Arial"/>
          <w:noProof/>
          <w:color w:val="auto"/>
          <w:szCs w:val="20"/>
        </w:rPr>
        <w:t>(Hulukati et al., 2023.)</w:t>
      </w:r>
      <w:r w:rsidR="00276FC7" w:rsidRPr="009B48B5">
        <w:rPr>
          <w:rFonts w:ascii="Arial" w:hAnsi="Arial" w:cs="Arial"/>
          <w:color w:val="auto"/>
          <w:szCs w:val="20"/>
        </w:rPr>
        <w:fldChar w:fldCharType="end"/>
      </w:r>
      <w:r w:rsidR="000F0085" w:rsidRPr="009B48B5">
        <w:rPr>
          <w:rFonts w:ascii="Arial" w:hAnsi="Arial" w:cs="Arial"/>
          <w:color w:val="auto"/>
          <w:szCs w:val="20"/>
        </w:rPr>
        <w:t>.</w:t>
      </w:r>
    </w:p>
    <w:p w14:paraId="5833753F" w14:textId="133C780A" w:rsidR="000F0085" w:rsidRPr="009B48B5" w:rsidRDefault="00C36459" w:rsidP="009B48B5">
      <w:pPr>
        <w:pStyle w:val="JW37itemize"/>
        <w:numPr>
          <w:ilvl w:val="0"/>
          <w:numId w:val="0"/>
        </w:numPr>
        <w:spacing w:line="480" w:lineRule="auto"/>
        <w:ind w:firstLine="709"/>
        <w:rPr>
          <w:rFonts w:ascii="Arial" w:hAnsi="Arial" w:cs="Arial"/>
          <w:color w:val="auto"/>
          <w:szCs w:val="20"/>
        </w:rPr>
      </w:pPr>
      <w:r w:rsidRPr="009B48B5">
        <w:rPr>
          <w:rFonts w:ascii="Arial" w:hAnsi="Arial" w:cs="Arial"/>
          <w:color w:val="auto"/>
          <w:szCs w:val="20"/>
        </w:rPr>
        <w:lastRenderedPageBreak/>
        <w:t xml:space="preserve">Beyond legal enforcement and rehabilitation efforts, the state bears responsibility for implementing comprehensive educational </w:t>
      </w:r>
      <w:proofErr w:type="spellStart"/>
      <w:r w:rsidRPr="009B48B5">
        <w:rPr>
          <w:rFonts w:ascii="Arial" w:hAnsi="Arial" w:cs="Arial"/>
          <w:color w:val="auto"/>
          <w:szCs w:val="20"/>
        </w:rPr>
        <w:t>programmes</w:t>
      </w:r>
      <w:proofErr w:type="spellEnd"/>
      <w:r w:rsidRPr="009B48B5">
        <w:rPr>
          <w:rFonts w:ascii="Arial" w:hAnsi="Arial" w:cs="Arial"/>
          <w:color w:val="auto"/>
          <w:szCs w:val="20"/>
        </w:rPr>
        <w:t xml:space="preserve"> targeting all age groups and social strata across the nation </w:t>
      </w:r>
      <w:r w:rsidR="00E449FF" w:rsidRPr="009B48B5">
        <w:rPr>
          <w:rFonts w:ascii="Arial" w:hAnsi="Arial" w:cs="Arial"/>
          <w:color w:val="auto"/>
          <w:szCs w:val="20"/>
        </w:rPr>
        <w:fldChar w:fldCharType="begin" w:fldLock="1"/>
      </w:r>
      <w:r w:rsidR="00E449FF" w:rsidRPr="009B48B5">
        <w:rPr>
          <w:rFonts w:ascii="Arial" w:hAnsi="Arial" w:cs="Arial"/>
          <w:color w:val="auto"/>
          <w:szCs w:val="20"/>
        </w:rPr>
        <w:instrText>ADDIN CSL_CITATION {"citationItems":[{"id":"ITEM-1","itemData":{"DOI":"10.14197/atr.201218117","ISSN":"2286-7511","abstract":"In Mexican child protection circles the term ‘circuit children’ has been used to designate people under the age of 18 who cross the US-Mexico border irregularly and cyclically for the purpose of smuggling drugs or irregular migrants. Young people of the border region have historically been involved in these markets. Yet their activities have become more visible in recent years in the context of increased border militarisation, and immigration and crime controls implemented by both the US and Mexican governments. Depicted in official and media discourses as forced recruits of local organised crime gangs, circuit children have increasingly been at the centre of initiatives that seek to identify and treat them as victims of trafficking. These efforts often rely on portrayals that frame them as gullible and defenceless, and their families and communities as inherently dysfunctional, dangerous and crime-prone. The structural and geopolitical conditions related to the children’s participation in smuggling, however, remain unchallenged. Most troublingly, trafficking discourses tend to silence the perspectives of circuit children themselves. This paper, based on interviews and participant observation, shows how circuit children, rather than seeing themselves as victims, articulate legitimate, important claims concerning their engagement in illicit markets, reflective of the ways they navigate the complex economic, socio-political and migratory contexts of the US-Mexico border.","author":[{"dropping-particle":"","family":"Sanchez","given":"Gabriella","non-dropping-particle":"","parse-names":false,"suffix":""}],"container-title":"Anti-Trafficking Review","id":"ITEM-1","issue":"11","issued":{"date-parts":[["2018"]]},"page":"103-119","title":"‘Circuit Children’: The experiences and perspectives of children engaged in migrant smuggling facilitation on the US-Mexico border","type":"article-journal"},"uris":["http://www.mendeley.com/documents/?uuid=544cbd5c-6233-4d27-bdd6-d048f19b9ebc"]}],"mendeley":{"formattedCitation":"(Sanchez, 2018)","plainTextFormattedCitation":"(Sanchez, 2018)","previouslyFormattedCitation":"(Sanchez, 2018)"},"properties":{"noteIndex":0},"schema":"https://github.com/citation-style-language/schema/raw/master/csl-citation.json"}</w:instrText>
      </w:r>
      <w:r w:rsidR="00E449FF" w:rsidRPr="009B48B5">
        <w:rPr>
          <w:rFonts w:ascii="Arial" w:hAnsi="Arial" w:cs="Arial"/>
          <w:color w:val="auto"/>
          <w:szCs w:val="20"/>
        </w:rPr>
        <w:fldChar w:fldCharType="separate"/>
      </w:r>
      <w:r w:rsidR="00E449FF" w:rsidRPr="009B48B5">
        <w:rPr>
          <w:rFonts w:ascii="Arial" w:hAnsi="Arial" w:cs="Arial"/>
          <w:noProof/>
          <w:color w:val="auto"/>
          <w:szCs w:val="20"/>
        </w:rPr>
        <w:t>(Sanchez, 2018)</w:t>
      </w:r>
      <w:r w:rsidR="00E449FF" w:rsidRPr="009B48B5">
        <w:rPr>
          <w:rFonts w:ascii="Arial" w:hAnsi="Arial" w:cs="Arial"/>
          <w:color w:val="auto"/>
          <w:szCs w:val="20"/>
        </w:rPr>
        <w:fldChar w:fldCharType="end"/>
      </w:r>
      <w:r w:rsidR="00E449FF" w:rsidRPr="009B48B5">
        <w:rPr>
          <w:rFonts w:ascii="Arial" w:hAnsi="Arial" w:cs="Arial"/>
          <w:color w:val="auto"/>
          <w:szCs w:val="20"/>
        </w:rPr>
        <w:t xml:space="preserve">; </w:t>
      </w:r>
      <w:r w:rsidR="00E449FF" w:rsidRPr="009B48B5">
        <w:rPr>
          <w:rFonts w:ascii="Arial" w:hAnsi="Arial" w:cs="Arial"/>
          <w:color w:val="auto"/>
          <w:szCs w:val="20"/>
        </w:rPr>
        <w:fldChar w:fldCharType="begin" w:fldLock="1"/>
      </w:r>
      <w:r w:rsidR="00E449FF" w:rsidRPr="009B48B5">
        <w:rPr>
          <w:rFonts w:ascii="Arial" w:hAnsi="Arial" w:cs="Arial"/>
          <w:color w:val="auto"/>
          <w:szCs w:val="20"/>
        </w:rPr>
        <w:instrText>ADDIN CSL_CITATION {"citationItems":[{"id":"ITEM-1","itemData":{"DOI":"10.1080/02703149.2016.1210963","ISSN":"15410315","abstract":"In recent years, the problem of child sex trafficking has become a topic of international discussion and concern. Child sex trafficking can include many forms of commercial sexual exploitation such as prostitution, pornography, and child sex tourism. Children who fall prey to these forms of sexual exploitation are of particular concern because of their vulnerable status and the impact these experiences have on their development. This article provides a comprehensive review about what is currently known about child sex trafficking by examining definitions, estimates of the problem, child risk factors and consequences, and approaches to protection, prosecution, promotion of recovery and reintegration, and partnerships for promoting collaboration and cooperation.","author":[{"dropping-particle":"","family":"Miller-Perrin","given":"Cindy","non-dropping-particle":"","parse-names":false,"suffix":""},{"dropping-particle":"","family":"Wurtele","given":"Sandy K.","non-dropping-particle":"","parse-names":false,"suffix":""}],"container-title":"Women and Therapy","id":"ITEM-1","issue":"1-2","issued":{"date-parts":[["2017"]]},"page":"123-151","publisher":"Taylor &amp; Francis","title":"Sex Trafficking and the Commercial Sexual Exploitation of Children","type":"article-journal","volume":"40"},"uris":["http://www.mendeley.com/documents/?uuid=a595bf42-f814-490c-a7c2-d1e48cfccda5"]}],"mendeley":{"formattedCitation":"(Miller-Perrin &amp; Wurtele, 2017)","plainTextFormattedCitation":"(Miller-Perrin &amp; Wurtele, 2017)","previouslyFormattedCitation":"(Miller-Perrin &amp; Wurtele, 2017)"},"properties":{"noteIndex":0},"schema":"https://github.com/citation-style-language/schema/raw/master/csl-citation.json"}</w:instrText>
      </w:r>
      <w:r w:rsidR="00E449FF" w:rsidRPr="009B48B5">
        <w:rPr>
          <w:rFonts w:ascii="Arial" w:hAnsi="Arial" w:cs="Arial"/>
          <w:color w:val="auto"/>
          <w:szCs w:val="20"/>
        </w:rPr>
        <w:fldChar w:fldCharType="separate"/>
      </w:r>
      <w:r w:rsidR="00E449FF" w:rsidRPr="009B48B5">
        <w:rPr>
          <w:rFonts w:ascii="Arial" w:hAnsi="Arial" w:cs="Arial"/>
          <w:noProof/>
          <w:color w:val="auto"/>
          <w:szCs w:val="20"/>
        </w:rPr>
        <w:t>(Miller-Perrin &amp; Wurtele, 2017)</w:t>
      </w:r>
      <w:r w:rsidR="00E449FF" w:rsidRPr="009B48B5">
        <w:rPr>
          <w:rFonts w:ascii="Arial" w:hAnsi="Arial" w:cs="Arial"/>
          <w:color w:val="auto"/>
          <w:szCs w:val="20"/>
        </w:rPr>
        <w:fldChar w:fldCharType="end"/>
      </w:r>
      <w:r w:rsidR="00E449FF" w:rsidRPr="009B48B5">
        <w:rPr>
          <w:rFonts w:ascii="Arial" w:hAnsi="Arial" w:cs="Arial"/>
          <w:color w:val="auto"/>
          <w:szCs w:val="20"/>
        </w:rPr>
        <w:t xml:space="preserve">; </w:t>
      </w:r>
      <w:r w:rsidR="00E449FF" w:rsidRPr="009B48B5">
        <w:rPr>
          <w:rFonts w:ascii="Arial" w:hAnsi="Arial" w:cs="Arial"/>
          <w:color w:val="auto"/>
          <w:szCs w:val="20"/>
        </w:rPr>
        <w:fldChar w:fldCharType="begin" w:fldLock="1"/>
      </w:r>
      <w:r w:rsidR="00E449FF" w:rsidRPr="009B48B5">
        <w:rPr>
          <w:rFonts w:ascii="Arial" w:hAnsi="Arial" w:cs="Arial"/>
          <w:color w:val="auto"/>
          <w:szCs w:val="20"/>
        </w:rPr>
        <w:instrText>ADDIN CSL_CITATION {"citationItems":[{"id":"ITEM-1","itemData":{"DOI":"10.1002/wps.20801","ISSN":"20515545","PMID":"32931107","abstract":"Suicide is preventable. Nevertheless, each year 800,000 people die of suicide in the world. While there is evidence indicating that suicide rates de-crease during times of crises, they are expected to increase once the immediate crisis has passed. The COVID-19 pandemic affects risk and pro-tective factors for suicide at each level of the socio-ecological model. Economic downturn, augmented barriers to accessing health care, increased access to suicidal means, inappropriate media reporting at the societal level; deprioritization of mental health and preventive activities at the community level; interpersonal conflicts, neglect and violence at the relationship level; unemployment, poverty, loneliness and hopelessness at the individual level: all these variables contribute to an increase of depression, anxiety, post-traumatic stress disorder, harmful use of alcohol, substance abuse, and ultimately suicide risk. Suicide should be prevented by strengthening universal strategies directed to the entire population, including mitigation of unemployment, poverty and inequalities; prioritization of access to mental health care; responsible media reporting, with information about available support; prevention of increased alcohol intake; and restriction of access to lethal means of suicide. Selective interventions should continue to target known vulnerable groups who are socio-economically disadvantaged, but also new ones such as first responders and health care staff, and the bereaved by COVID-19 who have been deprived of the final contact with loved ones and funerals. Indicated preventive strategies targeting individuals who display suicidal behaviour should focus on available pharmacological and psychological treatments of mental disorders, ensuring proper follow-up and chain of care by increased use of telemedicine and other digital means. The scientific community, health care professionals, politicians and decision-makers will find in this paper a systematic description of the effects of the pandemic on suicide risk at the society, community, family and individual levels, and an overview of how evidence-based suicide preventive interventions should be adapted. Research is needed to investigate which adaptations are effective and in which con-texts.","author":[{"dropping-particle":"","family":"Wasserman","given":"Danuta","non-dropping-particle":"","parse-names":false,"suffix":""},{"dropping-particle":"","family":"Iosue","given":"Miriam","non-dropping-particle":"","parse-names":false,"suffix":""},{"dropping-particle":"","family":"Wuestefeld","given":"Anika","non-dropping-particle":"","parse-names":false,"suffix":""},{"dropping-particle":"","family":"Carli","given":"Vladimir","non-dropping-particle":"","parse-names":false,"suffix":""}],"container-title":"World Psychiatry","id":"ITEM-1","issue":"3","issued":{"date-parts":[["2020"]]},"page":"294-306","title":"Adaptation of evidence-based suicide prevention strategies during and after the COVID-19 pandemic","type":"article-journal","volume":"19"},"uris":["http://www.mendeley.com/documents/?uuid=ece6763f-26f1-41df-87b0-bfaede23078b"]}],"mendeley":{"formattedCitation":"(Wasserman et al., 2020)","plainTextFormattedCitation":"(Wasserman et al., 2020)","previouslyFormattedCitation":"(Wasserman et al., 2020)"},"properties":{"noteIndex":0},"schema":"https://github.com/citation-style-language/schema/raw/master/csl-citation.json"}</w:instrText>
      </w:r>
      <w:r w:rsidR="00E449FF" w:rsidRPr="009B48B5">
        <w:rPr>
          <w:rFonts w:ascii="Arial" w:hAnsi="Arial" w:cs="Arial"/>
          <w:color w:val="auto"/>
          <w:szCs w:val="20"/>
        </w:rPr>
        <w:fldChar w:fldCharType="separate"/>
      </w:r>
      <w:r w:rsidR="00E449FF" w:rsidRPr="009B48B5">
        <w:rPr>
          <w:rFonts w:ascii="Arial" w:hAnsi="Arial" w:cs="Arial"/>
          <w:noProof/>
          <w:color w:val="auto"/>
          <w:szCs w:val="20"/>
        </w:rPr>
        <w:t>(Wasserman et al., 2020)</w:t>
      </w:r>
      <w:r w:rsidR="00E449FF" w:rsidRPr="009B48B5">
        <w:rPr>
          <w:rFonts w:ascii="Arial" w:hAnsi="Arial" w:cs="Arial"/>
          <w:color w:val="auto"/>
          <w:szCs w:val="20"/>
        </w:rPr>
        <w:fldChar w:fldCharType="end"/>
      </w:r>
      <w:r w:rsidR="000F0085" w:rsidRPr="009B48B5">
        <w:rPr>
          <w:rFonts w:ascii="Arial" w:hAnsi="Arial" w:cs="Arial"/>
          <w:color w:val="auto"/>
          <w:szCs w:val="20"/>
        </w:rPr>
        <w:t xml:space="preserve">. </w:t>
      </w:r>
      <w:r w:rsidRPr="009B48B5">
        <w:rPr>
          <w:rFonts w:ascii="Arial" w:hAnsi="Arial" w:cs="Arial"/>
          <w:color w:val="auto"/>
          <w:szCs w:val="20"/>
        </w:rPr>
        <w:t xml:space="preserve">These initiatives are designed to elevate public awareness regarding the dangers associated with drug abuse and its long-term socio-economic and health consequences </w:t>
      </w:r>
      <w:r w:rsidR="00E449FF" w:rsidRPr="009B48B5">
        <w:rPr>
          <w:rFonts w:ascii="Arial" w:hAnsi="Arial" w:cs="Arial"/>
          <w:color w:val="auto"/>
          <w:szCs w:val="20"/>
        </w:rPr>
        <w:fldChar w:fldCharType="begin" w:fldLock="1"/>
      </w:r>
      <w:r w:rsidR="00E449FF" w:rsidRPr="009B48B5">
        <w:rPr>
          <w:rFonts w:ascii="Arial" w:hAnsi="Arial" w:cs="Arial"/>
          <w:color w:val="auto"/>
          <w:szCs w:val="20"/>
        </w:rPr>
        <w:instrText>ADDIN CSL_CITATION {"citationItems":[{"id":"ITEM-1","itemData":{"DOI":"10.1016/S2215-0366(18)30057-9","ISSN":"22150374","PMID":"29773478","abstract":"Available treatment methods have shown little effect on the burden associated with mental health disorders. We review promising universal, selective, and indicated preventive mental health strategies that might reduce the incidence of mental health disorders, or shift expected trajectories to less debilitating outcomes. Some of these interventions also seem to be cost-effective. In the transition to mental illness, the cumulative lifetime effect of multiple small effect size risk factors progressively increases vulnerability to mental health disorders. This process might inform different levels and stages of tailored interventions to lessen risk, or increase protective factors and resilience, especially during sensitive developmental periods. Gaps between knowledge, policy, and practice need to be bridged. Future steps should emphasise mental health promotion, and improvement of early detection and interventions in clinical settings, schools, and the community, with essential support from society and policy makers.","author":[{"dropping-particle":"","family":"Arango","given":"Celso","non-dropping-particle":"","parse-names":false,"suffix":""},{"dropping-particle":"","family":"Díaz-Caneja","given":"Covadonga M.","non-dropping-particle":"","parse-names":false,"suffix":""},{"dropping-particle":"","family":"McGorry","given":"Patrick D.","non-dropping-particle":"","parse-names":false,"suffix":""},{"dropping-particle":"","family":"Rapoport","given":"Judith","non-dropping-particle":"","parse-names":false,"suffix":""},{"dropping-particle":"","family":"Sommer","given":"Iris E.","non-dropping-particle":"","parse-names":false,"suffix":""},{"dropping-particle":"","family":"Vorstman","given":"Jacob A.","non-dropping-particle":"","parse-names":false,"suffix":""},{"dropping-particle":"","family":"McDaid","given":"David","non-dropping-particle":"","parse-names":false,"suffix":""},{"dropping-particle":"","family":"Marín","given":"Oscar","non-dropping-particle":"","parse-names":false,"suffix":""},{"dropping-particle":"","family":"Serrano-Drozdowskyj","given":"Elena","non-dropping-particle":"","parse-names":false,"suffix":""},{"dropping-particle":"","family":"Freedman","given":"Robert","non-dropping-particle":"","parse-names":false,"suffix":""},{"dropping-particle":"","family":"Carpenter","given":"William","non-dropping-particle":"","parse-names":false,"suffix":""}],"container-title":"The Lancet Psychiatry","id":"ITEM-1","issue":"7","issued":{"date-parts":[["2018"]]},"page":"591-604","title":"Preventive strategies for mental health","type":"article-journal","volume":"5"},"uris":["http://www.mendeley.com/documents/?uuid=2e92903b-2b18-4959-93cc-6e69891d0df1"]}],"mendeley":{"formattedCitation":"(Arango et al., 2018)","plainTextFormattedCitation":"(Arango et al., 2018)","previouslyFormattedCitation":"(Arango et al., 2018)"},"properties":{"noteIndex":0},"schema":"https://github.com/citation-style-language/schema/raw/master/csl-citation.json"}</w:instrText>
      </w:r>
      <w:r w:rsidR="00E449FF" w:rsidRPr="009B48B5">
        <w:rPr>
          <w:rFonts w:ascii="Arial" w:hAnsi="Arial" w:cs="Arial"/>
          <w:color w:val="auto"/>
          <w:szCs w:val="20"/>
        </w:rPr>
        <w:fldChar w:fldCharType="separate"/>
      </w:r>
      <w:r w:rsidR="00E449FF" w:rsidRPr="009B48B5">
        <w:rPr>
          <w:rFonts w:ascii="Arial" w:hAnsi="Arial" w:cs="Arial"/>
          <w:noProof/>
          <w:color w:val="auto"/>
          <w:szCs w:val="20"/>
        </w:rPr>
        <w:t>(Arango et al., 2018)</w:t>
      </w:r>
      <w:r w:rsidR="00E449FF" w:rsidRPr="009B48B5">
        <w:rPr>
          <w:rFonts w:ascii="Arial" w:hAnsi="Arial" w:cs="Arial"/>
          <w:color w:val="auto"/>
          <w:szCs w:val="20"/>
        </w:rPr>
        <w:fldChar w:fldCharType="end"/>
      </w:r>
      <w:r w:rsidR="00E449FF" w:rsidRPr="009B48B5">
        <w:rPr>
          <w:rFonts w:ascii="Arial" w:hAnsi="Arial" w:cs="Arial"/>
          <w:color w:val="auto"/>
          <w:szCs w:val="20"/>
        </w:rPr>
        <w:t xml:space="preserve">; </w:t>
      </w:r>
      <w:r w:rsidR="00E449FF" w:rsidRPr="009B48B5">
        <w:rPr>
          <w:rFonts w:ascii="Arial" w:hAnsi="Arial" w:cs="Arial"/>
          <w:color w:val="auto"/>
          <w:szCs w:val="20"/>
        </w:rPr>
        <w:fldChar w:fldCharType="begin" w:fldLock="1"/>
      </w:r>
      <w:r w:rsidR="00E449FF" w:rsidRPr="009B48B5">
        <w:rPr>
          <w:rFonts w:ascii="Arial" w:hAnsi="Arial" w:cs="Arial"/>
          <w:color w:val="auto"/>
          <w:szCs w:val="20"/>
        </w:rPr>
        <w:instrText>ADDIN CSL_CITATION {"citationItems":[{"id":"ITEM-1","itemData":{"DOI":"10.1146/annurev-med-042915-103753","ISSN":"1545326X","PMID":"28099083","abstract":"Alzheimer's disease (AD) is the primary cause of age-related dementia. Effective strategies to prevent and treat AD remain elusive despite major efforts to understand its basic biology and clinical pathophysiology. Significant investments in therapeutic drug discovery programs over the past two decades have yielded some important insights but no blockbuster drugs to alter the course of disease. Because significant memory loss and cognitive decline are associated with neuron death and loss of gray matter, especially in the frontal cortex and hippocampus, some focus in drug development has shifted to early prevention of cellular pathology. Although clinical trial design is challenging, due in part to a lack of robust biomarkers with predictive value, some optimism has come from the identification and study of inherited forms of early-onset AD and genetic risk factors that provide insights about molecular pathophysiology and potential drug targets. In addition, better understanding of the Aβ amyloid pathway and the tau pathway-leading to amyloid plaques and neurofibrillary tangles, respectively, which are histopathological hallmarks of AD-continues to drive significant drug research and development programs. The main focus of this review is to summarize the most recent basic biology, biochemistry, and pharmacology that serve as a foundation for more than 50 active advanced-phase clinical trials for AD prevention and therapy.","author":[{"dropping-particle":"","family":"Graham","given":"W. Vallen","non-dropping-particle":"","parse-names":false,"suffix":""},{"dropping-particle":"","family":"Bonito-Oliva","given":"Alessandra","non-dropping-particle":"","parse-names":false,"suffix":""},{"dropping-particle":"","family":"Sakmar","given":"Thomas P.","non-dropping-particle":"","parse-names":false,"suffix":""}],"container-title":"Annual Review of Medicine","id":"ITEM-1","issued":{"date-parts":[["2017"]]},"page":"413-430","title":"Update on Alzheimer's Disease Therapy and Prevention Strategies","type":"article-journal","volume":"68"},"uris":["http://www.mendeley.com/documents/?uuid=5b1c80fe-d613-43c4-a34e-29c3a31538ac"]}],"mendeley":{"formattedCitation":"(Graham et al., 2017)","plainTextFormattedCitation":"(Graham et al., 2017)","previouslyFormattedCitation":"(Graham et al., 2017)"},"properties":{"noteIndex":0},"schema":"https://github.com/citation-style-language/schema/raw/master/csl-citation.json"}</w:instrText>
      </w:r>
      <w:r w:rsidR="00E449FF" w:rsidRPr="009B48B5">
        <w:rPr>
          <w:rFonts w:ascii="Arial" w:hAnsi="Arial" w:cs="Arial"/>
          <w:color w:val="auto"/>
          <w:szCs w:val="20"/>
        </w:rPr>
        <w:fldChar w:fldCharType="separate"/>
      </w:r>
      <w:r w:rsidR="00E449FF" w:rsidRPr="009B48B5">
        <w:rPr>
          <w:rFonts w:ascii="Arial" w:hAnsi="Arial" w:cs="Arial"/>
          <w:noProof/>
          <w:color w:val="auto"/>
          <w:szCs w:val="20"/>
        </w:rPr>
        <w:t>(Graham et al., 2017)</w:t>
      </w:r>
      <w:r w:rsidR="00E449FF" w:rsidRPr="009B48B5">
        <w:rPr>
          <w:rFonts w:ascii="Arial" w:hAnsi="Arial" w:cs="Arial"/>
          <w:color w:val="auto"/>
          <w:szCs w:val="20"/>
        </w:rPr>
        <w:fldChar w:fldCharType="end"/>
      </w:r>
      <w:r w:rsidR="00E449FF" w:rsidRPr="009B48B5">
        <w:rPr>
          <w:rFonts w:ascii="Arial" w:hAnsi="Arial" w:cs="Arial"/>
          <w:color w:val="auto"/>
          <w:szCs w:val="20"/>
        </w:rPr>
        <w:t xml:space="preserve">; </w:t>
      </w:r>
      <w:r w:rsidR="00E449FF" w:rsidRPr="009B48B5">
        <w:rPr>
          <w:rFonts w:ascii="Arial" w:hAnsi="Arial" w:cs="Arial"/>
          <w:color w:val="auto"/>
          <w:szCs w:val="20"/>
        </w:rPr>
        <w:fldChar w:fldCharType="begin" w:fldLock="1"/>
      </w:r>
      <w:r w:rsidR="00E449FF" w:rsidRPr="009B48B5">
        <w:rPr>
          <w:rFonts w:ascii="Arial" w:hAnsi="Arial" w:cs="Arial"/>
          <w:color w:val="auto"/>
          <w:szCs w:val="20"/>
        </w:rPr>
        <w:instrText>ADDIN CSL_CITATION {"citationItems":[{"id":"ITEM-1","itemData":{"DOI":"10.1111/dar.12932","ISSN":"14653362","PMID":"31050051","abstract":"Introduction and Aims: Internet use has changed drug dealing over the past decade owing to the emergence of darknet services. Yet, little is known about drug dealing in public online services. This study reports findings from a Nordic comparative study on social media drug dealing. It is the first in-depth study on the increase of digitally mediated drug dealing outside the cryptomarkets. Design and Methods: A qualitative study using online ethnography and semi-structured interviews. One hundred and seven participants aged 16–45 years (mean age 23.1 years), with 83.2% being male, were interviewed. Data was coded in NVivo using general themes: modus operandi, trust and risk. Results: Ethnographical data shows a high degree of drug-dealing activity on Facebook, Instagram, Snapchat and Facebook Messenger. Buyers and sellers also use encrypted platforms, such as darknet forums and the Wickr app on their smartphones. The medium used varies across the countries, as well as motivations for usage in connection with risk perceptions. Discussion: Despite national differences, social media is a common tool used in selling and buying illegal drugs. Availability affects the prevalence of use of various social media; however, prevalence is also crucial for which media is used. Many of the participants report easily drifting in and out of social media dealing and buying, without being aware of the seriousness of the offence. Conclusion: Based on the differences in attachment to the seller career, we advise that policing strategies should be supplemented with—and even stand in the back of—prevention campaigns.","author":[{"dropping-particle":"","family":"Demant","given":"Jakob","non-dropping-particle":"","parse-names":false,"suffix":""},{"dropping-particle":"","family":"Bakken","given":"Silje Anderdal","non-dropping-particle":"","parse-names":false,"suffix":""},{"dropping-particle":"","family":"Oksanen","given":"Atte","non-dropping-particle":"","parse-names":false,"suffix":""},{"dropping-particle":"","family":"Gunnlaugsson","given":"Helgi","non-dropping-particle":"","parse-names":false,"suffix":""}],"container-title":"Drug and Alcohol Review","id":"ITEM-1","issue":"4","issued":{"date-parts":[["2019"]]},"page":"377-385","title":"Drug dealing on Facebook, Snapchat and Instagram: A qualitative analysis of novel drug markets in the Nordic countries","type":"article-journal","volume":"38"},"uris":["http://www.mendeley.com/documents/?uuid=473d9ab9-c4bd-432f-97fa-efddee96b307"]}],"mendeley":{"formattedCitation":"(Demant et al., 2019)","plainTextFormattedCitation":"(Demant et al., 2019)","previouslyFormattedCitation":"(Demant et al., 2019)"},"properties":{"noteIndex":0},"schema":"https://github.com/citation-style-language/schema/raw/master/csl-citation.json"}</w:instrText>
      </w:r>
      <w:r w:rsidR="00E449FF" w:rsidRPr="009B48B5">
        <w:rPr>
          <w:rFonts w:ascii="Arial" w:hAnsi="Arial" w:cs="Arial"/>
          <w:color w:val="auto"/>
          <w:szCs w:val="20"/>
        </w:rPr>
        <w:fldChar w:fldCharType="separate"/>
      </w:r>
      <w:r w:rsidR="00E449FF" w:rsidRPr="009B48B5">
        <w:rPr>
          <w:rFonts w:ascii="Arial" w:hAnsi="Arial" w:cs="Arial"/>
          <w:noProof/>
          <w:color w:val="auto"/>
          <w:szCs w:val="20"/>
        </w:rPr>
        <w:t>(Demant et al., 2019)</w:t>
      </w:r>
      <w:r w:rsidR="00E449FF" w:rsidRPr="009B48B5">
        <w:rPr>
          <w:rFonts w:ascii="Arial" w:hAnsi="Arial" w:cs="Arial"/>
          <w:color w:val="auto"/>
          <w:szCs w:val="20"/>
        </w:rPr>
        <w:fldChar w:fldCharType="end"/>
      </w:r>
      <w:r w:rsidR="000F0085" w:rsidRPr="009B48B5">
        <w:rPr>
          <w:rFonts w:ascii="Arial" w:hAnsi="Arial" w:cs="Arial"/>
          <w:color w:val="auto"/>
          <w:szCs w:val="20"/>
        </w:rPr>
        <w:t xml:space="preserve">. </w:t>
      </w:r>
      <w:r w:rsidRPr="009B48B5">
        <w:rPr>
          <w:rFonts w:ascii="Arial" w:hAnsi="Arial" w:cs="Arial"/>
          <w:color w:val="auto"/>
          <w:szCs w:val="20"/>
        </w:rPr>
        <w:t xml:space="preserve">The effectiveness of law enforcement in this domain is contingent upon strong institutional synergy and coordination among police authorities, public prosecutors, and other relevant stakeholders to ensure comprehensive, systematic responses to drug-related offences while simultaneously addressing legal loopholes frequently exploited by narcotics trafficking networks </w:t>
      </w:r>
      <w:r w:rsidR="00E449FF" w:rsidRPr="009B48B5">
        <w:rPr>
          <w:rFonts w:ascii="Arial" w:hAnsi="Arial" w:cs="Arial"/>
          <w:color w:val="auto"/>
          <w:szCs w:val="20"/>
        </w:rPr>
        <w:fldChar w:fldCharType="begin" w:fldLock="1"/>
      </w:r>
      <w:r w:rsidR="00E449FF" w:rsidRPr="009B48B5">
        <w:rPr>
          <w:rFonts w:ascii="Arial" w:hAnsi="Arial" w:cs="Arial"/>
          <w:color w:val="auto"/>
          <w:szCs w:val="20"/>
        </w:rPr>
        <w:instrText>ADDIN CSL_CITATION {"citationItems":[{"id":"ITEM-1","itemData":{"DOI":"10.36076/ppj.2018.4.309","ISSN":"21501149","PMID":"30045589","abstract":"The opioid epidemic has been called the “most consequential preventable public health problem in the United States.” Though there is wide recognition of the role of prescription opioids in the epidemic, evidence has shown that heroin and synthetic opioids contribute to the majority of opioid overdose deaths. It is essential to reframe the preventive strategies in place against the opioid crisis with attention to factors surrounding the illicit use of fentanyl and heroin. Data on opioid overdose deaths shows 42,000 deaths in 2016. Of these, synthetic opioids other than methadone were responsible for over 20,000, heroin for over 15,000, and natural and semi-synthetic opioids other than methadone responsible for over 14,000. Fentanyl deaths increased 520% from 2009 to 2016 (increased by 87.7% annually between 2013 and 2016), and heroin deaths increased 533% from 2000 to 2016. Prescription opioid deaths increased by 18% overall between 2009 and 2016. The Drug Enforcement Administration (DEA) mandated reductions in opioid production by 25% in 2017 and 20% in 2018. The number of prescriptions for opioids declined significantly from 252 million in 2013 to 196 million in 2017 (9% annual decline over this period), falling below the number of prescriptions in 2006. In addition, data from 2017 shows significant reductions in the milligram equivalence of morphine by 12.2% and in the number of patients receiving high dose opioids by 16.1%. This manuscript describes the escalation of opioid use in the United States, discussing the roles played by drug manufacturers and distributors, liberalization by the DEA, the Food and Drug Administration (FDA), licensure boards and legislatures, poor science, and misuse of evidence-based medicine. Moreover, we describe how the influence of pharma, improper advocacy by physician groups, and the promotion of literature considered peer-reviewed led to the explosive use of illicit drugs arising from the issues surrounding prescription opioids. This manuscript describes a 3-tier approach presented to Congress. Tier 1 includes an aggressive education campaign geared toward the public, physicians, and patients. Tier 2 includes facilitation of easier access to non-opioid techniques and the establishment of a National All Schedules Prescription Electronic Reporting Act (NASPER). Finally, Tier 3 focuses on making buprenorphine more available for chronic pain management as well as for medication-assisted treatment.","author":[{"dropping-particle":"","family":"Manchikanti","given":"Laxmaiah","non-dropping-particle":"","parse-names":false,"suffix":""},{"dropping-particle":"","family":"Sanapati","given":"Jaya","non-dropping-particle":"","parse-names":false,"suffix":""},{"dropping-particle":"","family":"Benyamin","given":"Ramsin M.","non-dropping-particle":"","parse-names":false,"suffix":""},{"dropping-particle":"","family":"Atluri","given":"Sairam","non-dropping-particle":"","parse-names":false,"suffix":""},{"dropping-particle":"","family":"Kaye","given":"Alan D.","non-dropping-particle":"","parse-names":false,"suffix":""},{"dropping-particle":"","family":"Hirsch","given":"Joshua A.","non-dropping-particle":"","parse-names":false,"suffix":""}],"container-title":"Pain Physician","id":"ITEM-1","issue":"4","issued":{"date-parts":[["2018"]]},"page":"309-326","title":"Reframing the prevention strategies of the opioid crisis: Focusing on prescription opioids, fentanyl, and heroin epidemic","type":"article-journal","volume":"21"},"uris":["http://www.mendeley.com/documents/?uuid=9536d670-2fb3-41cc-8d47-9fcdfdd894f4"]}],"mendeley":{"formattedCitation":"(Manchikanti et al., 2018)","plainTextFormattedCitation":"(Manchikanti et al., 2018)","previouslyFormattedCitation":"(Manchikanti et al., 2018)"},"properties":{"noteIndex":0},"schema":"https://github.com/citation-style-language/schema/raw/master/csl-citation.json"}</w:instrText>
      </w:r>
      <w:r w:rsidR="00E449FF" w:rsidRPr="009B48B5">
        <w:rPr>
          <w:rFonts w:ascii="Arial" w:hAnsi="Arial" w:cs="Arial"/>
          <w:color w:val="auto"/>
          <w:szCs w:val="20"/>
        </w:rPr>
        <w:fldChar w:fldCharType="separate"/>
      </w:r>
      <w:r w:rsidR="00E449FF" w:rsidRPr="009B48B5">
        <w:rPr>
          <w:rFonts w:ascii="Arial" w:hAnsi="Arial" w:cs="Arial"/>
          <w:noProof/>
          <w:color w:val="auto"/>
          <w:szCs w:val="20"/>
        </w:rPr>
        <w:t>(Manchikanti et al., 2018)</w:t>
      </w:r>
      <w:r w:rsidR="00E449FF" w:rsidRPr="009B48B5">
        <w:rPr>
          <w:rFonts w:ascii="Arial" w:hAnsi="Arial" w:cs="Arial"/>
          <w:color w:val="auto"/>
          <w:szCs w:val="20"/>
        </w:rPr>
        <w:fldChar w:fldCharType="end"/>
      </w:r>
      <w:r w:rsidR="00E449FF" w:rsidRPr="009B48B5">
        <w:rPr>
          <w:rFonts w:ascii="Arial" w:hAnsi="Arial" w:cs="Arial"/>
          <w:color w:val="auto"/>
          <w:szCs w:val="20"/>
        </w:rPr>
        <w:t xml:space="preserve">; </w:t>
      </w:r>
      <w:r w:rsidR="00E449FF" w:rsidRPr="009B48B5">
        <w:rPr>
          <w:rFonts w:ascii="Arial" w:hAnsi="Arial" w:cs="Arial"/>
          <w:color w:val="auto"/>
          <w:szCs w:val="20"/>
        </w:rPr>
        <w:fldChar w:fldCharType="begin" w:fldLock="1"/>
      </w:r>
      <w:r w:rsidR="00B45545" w:rsidRPr="009B48B5">
        <w:rPr>
          <w:rFonts w:ascii="Arial" w:hAnsi="Arial" w:cs="Arial"/>
          <w:color w:val="auto"/>
          <w:szCs w:val="20"/>
        </w:rPr>
        <w:instrText>ADDIN CSL_CITATION {"citationItems":[{"id":"ITEM-1","itemData":{"ISBN":"9780333227794","abstract":"Permasalahan yang terjadi di Kota Surakarta adalah semakin banyaknya kasus penyalahgunaan narkoba di kalangan remaja, hal ini merupakan peringatan terhadap Kepolisian Polresta Surakarta untuk melakukan upaya mengatasi masalah tersebut. Tujuan dari penelitian ini adalah untuk menganalisis upaya yang dilakukan oleh Kepolisian Polresta Surakarta dalam menanggulangi penyalahgunaan narkoba di kalangan remaja beserta hambatan yang dialami. Upaya yang telah dilakukan berupa upaya preventif dan represif. Hambatan yang dialami oleh Kepolisian adalah keterbatasan sumber daya manusia, sarana prasarana dan terputusnya komunikasi. Hambatan tersebut dapat diatasi dengan pemanfaatan fasilitas yang ada dapat tetap dilaksanakan sesuai dengan tugas dan wewenang Kepolisian Polresta Surakarta dengan senantiasa aktif dalam menyampaikan kekurangan kepada pihak atasan yaitu, kurangnya sumber daya manusia dan sarana prasarana. Meningkatkan sosialisasi di kalangan masyarakat berupa penyampaian informasi bahaya narkoba, agar terjadi kesadaran dilingkungan masyarakat. Kata","author":[{"dropping-particle":"","family":"Fiyana","given":"Ika","non-dropping-particle":"","parse-names":false,"suffix":""}],"container-title":"Universitas Muhammadiyah Surakarta","id":"ITEM-1","issue":"1","issued":{"date-parts":[["2017"]]},"page":"1-15","title":"Upaya Kepolisian Dalam Menanggulangi Penyalahgunaan Narkoba Di Kalangan Remaja (Studi Kasus Di Polresta Surakarta)","type":"article-journal","volume":"4"},"uris":["http://www.mendeley.com/documents/?uuid=22456219-b2ce-42ca-9498-9a835ba2ec96"]}],"mendeley":{"formattedCitation":"(Fiyana, 2017)","plainTextFormattedCitation":"(Fiyana, 2017)","previouslyFormattedCitation":"(Fiyana, 2017)"},"properties":{"noteIndex":0},"schema":"https://github.com/citation-style-language/schema/raw/master/csl-citation.json"}</w:instrText>
      </w:r>
      <w:r w:rsidR="00E449FF" w:rsidRPr="009B48B5">
        <w:rPr>
          <w:rFonts w:ascii="Arial" w:hAnsi="Arial" w:cs="Arial"/>
          <w:color w:val="auto"/>
          <w:szCs w:val="20"/>
        </w:rPr>
        <w:fldChar w:fldCharType="separate"/>
      </w:r>
      <w:r w:rsidR="00E449FF" w:rsidRPr="009B48B5">
        <w:rPr>
          <w:rFonts w:ascii="Arial" w:hAnsi="Arial" w:cs="Arial"/>
          <w:noProof/>
          <w:color w:val="auto"/>
          <w:szCs w:val="20"/>
        </w:rPr>
        <w:t>(Fiyana, 2017)</w:t>
      </w:r>
      <w:r w:rsidR="00E449FF" w:rsidRPr="009B48B5">
        <w:rPr>
          <w:rFonts w:ascii="Arial" w:hAnsi="Arial" w:cs="Arial"/>
          <w:color w:val="auto"/>
          <w:szCs w:val="20"/>
        </w:rPr>
        <w:fldChar w:fldCharType="end"/>
      </w:r>
      <w:r w:rsidR="000F0085" w:rsidRPr="009B48B5">
        <w:rPr>
          <w:rFonts w:ascii="Arial" w:hAnsi="Arial" w:cs="Arial"/>
          <w:color w:val="auto"/>
          <w:szCs w:val="20"/>
        </w:rPr>
        <w:t>.</w:t>
      </w:r>
    </w:p>
    <w:p w14:paraId="4925E952" w14:textId="1DCF49E0" w:rsidR="000F0085" w:rsidRPr="009B48B5" w:rsidRDefault="00C36459" w:rsidP="009B48B5">
      <w:pPr>
        <w:pStyle w:val="JW37itemize"/>
        <w:numPr>
          <w:ilvl w:val="0"/>
          <w:numId w:val="0"/>
        </w:numPr>
        <w:spacing w:line="480" w:lineRule="auto"/>
        <w:ind w:firstLine="709"/>
        <w:rPr>
          <w:rFonts w:ascii="Arial" w:hAnsi="Arial" w:cs="Arial"/>
          <w:color w:val="auto"/>
          <w:szCs w:val="20"/>
        </w:rPr>
      </w:pPr>
      <w:r w:rsidRPr="009B48B5">
        <w:rPr>
          <w:rFonts w:ascii="Arial" w:hAnsi="Arial" w:cs="Arial"/>
          <w:color w:val="auto"/>
          <w:szCs w:val="20"/>
        </w:rPr>
        <w:t xml:space="preserve">Within the broader framework of drug prevention, society holds a strategic and indispensable role as an active partner in supporting governmental efforts </w:t>
      </w:r>
      <w:r w:rsidR="00B45545" w:rsidRPr="009B48B5">
        <w:rPr>
          <w:rFonts w:ascii="Arial" w:hAnsi="Arial" w:cs="Arial"/>
          <w:color w:val="auto"/>
          <w:szCs w:val="20"/>
        </w:rPr>
        <w:fldChar w:fldCharType="begin" w:fldLock="1"/>
      </w:r>
      <w:r w:rsidR="00B45545" w:rsidRPr="009B48B5">
        <w:rPr>
          <w:rFonts w:ascii="Arial" w:hAnsi="Arial" w:cs="Arial"/>
          <w:color w:val="auto"/>
          <w:szCs w:val="20"/>
        </w:rPr>
        <w:instrText>ADDIN CSL_CITATION {"citationItems":[{"id":"ITEM-1","itemData":{"DOI":"10.37541/plenojure.v9i1.390","ISSN":"2301-7686","abstract":"Penelitian ini dilakukan dengan bertujuan (1) untuk mengetahui dan memahami efektivitas pelaksanaan Sanksi pidana terhadap pelaku tindak pidana narkotika. (2) Untuk mengetahui dan memahami faktor-faktor apakah yang mempengaruhi efektivitas sanksi pidana terhadap pelaku  tindak pidana narkotika. Jenis penelitian ini adalah penelitian normatif empiris dan dilakukan di Pengadilan Negeri Makassar serta respondenya adalah Hakim Pengadilan Negeri Makassar , dan Penyidik BNN Makassaar. Hasil Penelitian ini menunjukan : Evektivitas pelaksanaan Sanksi pidana terhadap pelaku tindak pidana narkotika kurang efektif diakibatkan oleh adanya penjatuhan pidana yang tidak memberikan dampak atau deterrent effect terhadap pelakunya. Faktor yang memperngaruhinya adalah lingkungan, agama, dan pekerjaan. Sebagai saran: para pembuat undang-undang hendaknya memberikan pedoman penindasan khusus yang memenuhi skala prioritas tentang narkotika sebagai pedoman pemidanaan mengenai pertimbangan hakim dalam menjatuhkan sanksi, karena KUHP belum cukup menjadi pedoman pemidanaan bagi hakim, dimana Hakim sebagai penegak hukum yang berwenang mengadili hanya mempertimbangkan faktor-faktor yang ada dilapangan pada saat persidangan.\r Abstract. This research was conducted with the aim of (1) to find out and understand the effectiveness of the implementation of criminal sanctions against narcotics offenders. (2) To find out and understand what factors affect the effectiveness of criminal sanctions against narcotics offenders. This type of research is empirical normative research and is carried out in the Makassar District Court and the respondents are Makassar District Court Judges and BNN Makassaar Investigators. The results of this study indicate: The effectiveness of the implementation of criminal sanctions against narcotics offenders is less effective due to criminal convictions that have no impact or deterrent effect on the perpetrators. Factors that influence it are the environment, religion, and work. As a suggestion: lawmakers should provide specific guidelines on the oppression that meet the priority scale on narcotics as a guideline for judicial consideration in imposing sanctions because the Criminal Code has not been sufficiently a guideline for convicting judges, where Judges as law enforcement authorities are authorized to only consider factors -factors that exist in the field at the hearing.","author":[{"dropping-particle":"","family":"Asyharudddin","given":"Muhammad","non-dropping-particle":"","parse-names":false,"suffix":""},{"dropping-particle":"","family":"Badaru","given":"Baharuddin","non-dropping-particle":"","parse-names":false,"suffix":""},{"dropping-particle":"","family":"Hidjaz","given":"Muhammad Kamal","non-dropping-particle":"","parse-names":false,"suffix":""}],"container-title":"Pleno Jure","id":"ITEM-1","issue":"1","issued":{"date-parts":[["2020"]]},"page":"58-71","title":"Analisis Sanksi Pidana Terhadap Pelaku Tindak Pidana Narkotika","type":"article-journal","volume":"9"},"uris":["http://www.mendeley.com/documents/?uuid=eddc98b0-4ffd-4e8e-b6f0-4c2e3e99af17"]}],"mendeley":{"formattedCitation":"(Asyharudddin et al., 2020)","plainTextFormattedCitation":"(Asyharudddin et al., 2020)","previouslyFormattedCitation":"(Asyharudddin et al., 2020)"},"properties":{"noteIndex":0},"schema":"https://github.com/citation-style-language/schema/raw/master/csl-citation.json"}</w:instrText>
      </w:r>
      <w:r w:rsidR="00B45545" w:rsidRPr="009B48B5">
        <w:rPr>
          <w:rFonts w:ascii="Arial" w:hAnsi="Arial" w:cs="Arial"/>
          <w:color w:val="auto"/>
          <w:szCs w:val="20"/>
        </w:rPr>
        <w:fldChar w:fldCharType="separate"/>
      </w:r>
      <w:r w:rsidR="00B45545" w:rsidRPr="009B48B5">
        <w:rPr>
          <w:rFonts w:ascii="Arial" w:hAnsi="Arial" w:cs="Arial"/>
          <w:noProof/>
          <w:color w:val="auto"/>
          <w:szCs w:val="20"/>
        </w:rPr>
        <w:t>(Asyharudddin et al., 2020)</w:t>
      </w:r>
      <w:r w:rsidR="00B45545" w:rsidRPr="009B48B5">
        <w:rPr>
          <w:rFonts w:ascii="Arial" w:hAnsi="Arial" w:cs="Arial"/>
          <w:color w:val="auto"/>
          <w:szCs w:val="20"/>
        </w:rPr>
        <w:fldChar w:fldCharType="end"/>
      </w:r>
      <w:r w:rsidR="00B45545" w:rsidRPr="009B48B5">
        <w:rPr>
          <w:rFonts w:ascii="Arial" w:hAnsi="Arial" w:cs="Arial"/>
          <w:color w:val="auto"/>
          <w:szCs w:val="20"/>
        </w:rPr>
        <w:t xml:space="preserve">; </w:t>
      </w:r>
      <w:r w:rsidR="00B45545" w:rsidRPr="009B48B5">
        <w:rPr>
          <w:rFonts w:ascii="Arial" w:hAnsi="Arial" w:cs="Arial"/>
          <w:color w:val="auto"/>
          <w:szCs w:val="20"/>
        </w:rPr>
        <w:fldChar w:fldCharType="begin" w:fldLock="1"/>
      </w:r>
      <w:r w:rsidR="00B45545" w:rsidRPr="009B48B5">
        <w:rPr>
          <w:rFonts w:ascii="Arial" w:hAnsi="Arial" w:cs="Arial"/>
          <w:color w:val="auto"/>
          <w:szCs w:val="20"/>
        </w:rPr>
        <w:instrText>ADDIN CSL_CITATION {"citationItems":[{"id":"ITEM-1","itemData":{"abstract":"Penelitian ini membahas mengenai upaya penanggulangan peredaran dan\npenyalahgunaan narkotika di Kabupaten Sukoharjo, tingginya penyalahgunaan narkotika di\nKabupaten Sukoharjo merupakan suatu permasalahan serius yang harus segera ditangani.\nBahaya narkotika dapat mengancam kesehatan bahkan nyawa orang yang menggunakannya.\nNarkotika mempunyai dampak negatif apabila disalahgunakan dalam penggunaannya,\nterlebih jika seseorang sudah kecanduan untuk menggunakannya. Tindak kejahatan peredaran\ndan penyalahgunaan narkotika ini apabila tidak ditindak secara tegas maka akan\nmenyebabkan jumlah peredaran narkotika akan terus meningkat. Sehingga jika hal ini terjadi,\ndapat memberikan efek buruk kepada masyarakat. Pendekatan yang digunakan adalah\npendekatan kualitatif. Sumber bahan hukum yang digunakan adalah bahan hukum primer dan\nsekunder. Tindak pidana peredaran dan penyalahgunaan narkotika di Kabupaten Sukoharjo\nkarena motif ekonomi, serta jaringan pengedar narkotika sudah masuk ke dalam masyarakat,\nberbaur dan menjadikan narkotika menjadi barang yang banyak dikonsumsi anak muda\nkarena lemahnya pengawasan orang tua, kurangnya sosialisasi dari BNN (Badan Narkotika\nNasional) dan lemahnya pengawasan dari kepolisian karena keterbatasan personil.","author":[{"dropping-particle":"","family":"Saputra","given":"Andika","non-dropping-particle":"","parse-names":false,"suffix":""},{"dropping-particle":"","family":"Slamet","given":"Sabar","non-dropping-particle":"","parse-names":false,"suffix":""}],"container-title":"Recidive","id":"ITEM-1","issue":"2","issued":{"date-parts":[["2016"]]},"page":"273-286","title":"Upaya penanggulangan peredaran dan penyalahgunaan narkoba di kabupaten sukoharjo","type":"article-journal","volume":"5"},"uris":["http://www.mendeley.com/documents/?uuid=c02a7460-0237-463e-8a7e-2444deb2fd5b"]}],"mendeley":{"formattedCitation":"(Saputra &amp; Slamet, 2016)","plainTextFormattedCitation":"(Saputra &amp; Slamet, 2016)","previouslyFormattedCitation":"(Saputra &amp; Slamet, 2016)"},"properties":{"noteIndex":0},"schema":"https://github.com/citation-style-language/schema/raw/master/csl-citation.json"}</w:instrText>
      </w:r>
      <w:r w:rsidR="00B45545" w:rsidRPr="009B48B5">
        <w:rPr>
          <w:rFonts w:ascii="Arial" w:hAnsi="Arial" w:cs="Arial"/>
          <w:color w:val="auto"/>
          <w:szCs w:val="20"/>
        </w:rPr>
        <w:fldChar w:fldCharType="separate"/>
      </w:r>
      <w:r w:rsidR="00B45545" w:rsidRPr="009B48B5">
        <w:rPr>
          <w:rFonts w:ascii="Arial" w:hAnsi="Arial" w:cs="Arial"/>
          <w:noProof/>
          <w:color w:val="auto"/>
          <w:szCs w:val="20"/>
        </w:rPr>
        <w:t>(Saputra &amp; Slamet, 2016)</w:t>
      </w:r>
      <w:r w:rsidR="00B45545" w:rsidRPr="009B48B5">
        <w:rPr>
          <w:rFonts w:ascii="Arial" w:hAnsi="Arial" w:cs="Arial"/>
          <w:color w:val="auto"/>
          <w:szCs w:val="20"/>
        </w:rPr>
        <w:fldChar w:fldCharType="end"/>
      </w:r>
      <w:r w:rsidR="000F0085" w:rsidRPr="009B48B5">
        <w:rPr>
          <w:rFonts w:ascii="Arial" w:hAnsi="Arial" w:cs="Arial"/>
          <w:color w:val="auto"/>
          <w:szCs w:val="20"/>
        </w:rPr>
        <w:t xml:space="preserve">. </w:t>
      </w:r>
      <w:r w:rsidRPr="009B48B5">
        <w:rPr>
          <w:rFonts w:ascii="Arial" w:hAnsi="Arial" w:cs="Arial"/>
          <w:color w:val="auto"/>
          <w:szCs w:val="20"/>
        </w:rPr>
        <w:t xml:space="preserve">Collective awareness and meaningful community engagement are critical components in the success of preventive </w:t>
      </w:r>
      <w:proofErr w:type="spellStart"/>
      <w:r w:rsidRPr="009B48B5">
        <w:rPr>
          <w:rFonts w:ascii="Arial" w:hAnsi="Arial" w:cs="Arial"/>
          <w:color w:val="auto"/>
          <w:szCs w:val="20"/>
        </w:rPr>
        <w:t>programmes</w:t>
      </w:r>
      <w:proofErr w:type="spellEnd"/>
      <w:r w:rsidRPr="009B48B5">
        <w:rPr>
          <w:rFonts w:ascii="Arial" w:hAnsi="Arial" w:cs="Arial"/>
          <w:color w:val="auto"/>
          <w:szCs w:val="20"/>
        </w:rPr>
        <w:t xml:space="preserve">. These may include informal educational initiatives at the </w:t>
      </w:r>
      <w:proofErr w:type="spellStart"/>
      <w:r w:rsidRPr="009B48B5">
        <w:rPr>
          <w:rFonts w:ascii="Arial" w:hAnsi="Arial" w:cs="Arial"/>
          <w:color w:val="auto"/>
          <w:szCs w:val="20"/>
        </w:rPr>
        <w:t>neighbourhood</w:t>
      </w:r>
      <w:proofErr w:type="spellEnd"/>
      <w:r w:rsidRPr="009B48B5">
        <w:rPr>
          <w:rFonts w:ascii="Arial" w:hAnsi="Arial" w:cs="Arial"/>
          <w:color w:val="auto"/>
          <w:szCs w:val="20"/>
        </w:rPr>
        <w:t xml:space="preserve"> level, public outreach activities, and cooperation with educational institutions to </w:t>
      </w:r>
      <w:proofErr w:type="spellStart"/>
      <w:r w:rsidRPr="009B48B5">
        <w:rPr>
          <w:rFonts w:ascii="Arial" w:hAnsi="Arial" w:cs="Arial"/>
          <w:color w:val="auto"/>
          <w:szCs w:val="20"/>
        </w:rPr>
        <w:t>instil</w:t>
      </w:r>
      <w:proofErr w:type="spellEnd"/>
      <w:r w:rsidRPr="009B48B5">
        <w:rPr>
          <w:rFonts w:ascii="Arial" w:hAnsi="Arial" w:cs="Arial"/>
          <w:color w:val="auto"/>
          <w:szCs w:val="20"/>
        </w:rPr>
        <w:t xml:space="preserve"> awareness among the youth concerning the risks and long-term ramifications of drug use </w:t>
      </w:r>
      <w:r w:rsidR="00B45545" w:rsidRPr="009B48B5">
        <w:rPr>
          <w:rFonts w:ascii="Arial" w:hAnsi="Arial" w:cs="Arial"/>
          <w:color w:val="auto"/>
          <w:szCs w:val="20"/>
        </w:rPr>
        <w:fldChar w:fldCharType="begin" w:fldLock="1"/>
      </w:r>
      <w:r w:rsidR="00B45545" w:rsidRPr="009B48B5">
        <w:rPr>
          <w:rFonts w:ascii="Arial" w:hAnsi="Arial" w:cs="Arial"/>
          <w:color w:val="auto"/>
          <w:szCs w:val="20"/>
        </w:rPr>
        <w:instrText>ADDIN CSL_CITATION {"citationItems":[{"id":"ITEM-1","itemData":{"DOI":"10.36841/cermin_unars.v6i1.1712","ISSN":"2580-7781","abstract":"Maraknya narkotika dan obat-obatan terlarang telah banyak mempengaruhi mental dan sekaligus pendidikan bagi para pelajar saat ini. Masa depan bangsa yang besar ini bergantung sepenuhnya pada upaya pembebasan kaum muda dari bahaya narkoba. Narkotika yang disalahgunakan oleh setiap individu dapat membawa efek-efek negatif terhadap tubuh pemakai itu sendiri baik fisik, psikis, maupun sosial. Karakteristik psikologis yang khas pada remaja merupakan faktor yang memudahkan terjadinya tindakan penyalahgunaan zat. Namun demikian, untuk terjadinya hal tersebut diduga karena ada faktor keluarga dan faktor lingkungan sosial, yang memberikan pengaruh pada remaja serta yang memainkan peran penting, yaitu faktor lingkungan si pemakai narkoba. Faktor lingkungan tersebut memberikan pengaruh pada remaja dan mencetuskan timbulnya motivasi untuk menyalahgunakan narkoba. Penelitian ini bertujuan untuk mendeskripsikan pemberdayaan pemerintah dalam upaya pencegahan peredaran narkoba pada masyarakat Desa Klambir Lima Kebun Kecamatan Hamparan Perak Deli Serdang. Penelitian ini menggunakan pendekatan kualitatif dengan metode studi deskriptif. Hasil penelitian ini menunjukkan bahwa upaya yang dilaksanakan bukan saja tanggung jawab masyarakat, melainkan harus ikut andil pemerintah dan berupaya keras untuk mencegah peredaran narkoba yang telah banyak meresahkan masyarakat, meliputi upaya preventif, refresif, promotif, kuratif, dan rehabilitatif.","author":[{"dropping-particle":"","family":"Lubis","given":"M. Arif Sahlefi","non-dropping-particle":"","parse-names":false,"suffix":""},{"dropping-particle":"","family":"Ismaidar","given":"Ismaidar","non-dropping-particle":"","parse-names":false,"suffix":""},{"dropping-particle":"","family":"Lubis","given":"Sakban","non-dropping-particle":"","parse-names":false,"suffix":""}],"container-title":"CERMIN: Jurnal Penelitian","id":"ITEM-1","issue":"1","issued":{"date-parts":[["2022"]]},"page":"207","title":"Pemberdayaan Pemerintah Dalam Upaya Pencegahan Peredaran Narkoba Pada Masyarakat Desa Klambir Lima Kebun Kecamatan Hamparan Perak Kabupaten Deli Serdang","type":"article-journal","volume":"6"},"uris":["http://www.mendeley.com/documents/?uuid=ec9169c3-22d5-4d0a-8dc1-96e68dfdd967"]}],"mendeley":{"formattedCitation":"(Lubis et al., 2022)","plainTextFormattedCitation":"(Lubis et al., 2022)","previouslyFormattedCitation":"(Lubis et al., 2022)"},"properties":{"noteIndex":0},"schema":"https://github.com/citation-style-language/schema/raw/master/csl-citation.json"}</w:instrText>
      </w:r>
      <w:r w:rsidR="00B45545" w:rsidRPr="009B48B5">
        <w:rPr>
          <w:rFonts w:ascii="Arial" w:hAnsi="Arial" w:cs="Arial"/>
          <w:color w:val="auto"/>
          <w:szCs w:val="20"/>
        </w:rPr>
        <w:fldChar w:fldCharType="separate"/>
      </w:r>
      <w:r w:rsidR="00B45545" w:rsidRPr="009B48B5">
        <w:rPr>
          <w:rFonts w:ascii="Arial" w:hAnsi="Arial" w:cs="Arial"/>
          <w:noProof/>
          <w:color w:val="auto"/>
          <w:szCs w:val="20"/>
        </w:rPr>
        <w:t>(Lubis et al., 2022)</w:t>
      </w:r>
      <w:r w:rsidR="00B45545" w:rsidRPr="009B48B5">
        <w:rPr>
          <w:rFonts w:ascii="Arial" w:hAnsi="Arial" w:cs="Arial"/>
          <w:color w:val="auto"/>
          <w:szCs w:val="20"/>
        </w:rPr>
        <w:fldChar w:fldCharType="end"/>
      </w:r>
      <w:r w:rsidR="00B45545" w:rsidRPr="009B48B5">
        <w:rPr>
          <w:rFonts w:ascii="Arial" w:hAnsi="Arial" w:cs="Arial"/>
          <w:color w:val="auto"/>
          <w:szCs w:val="20"/>
        </w:rPr>
        <w:t xml:space="preserve">; </w:t>
      </w:r>
      <w:r w:rsidR="00B45545" w:rsidRPr="009B48B5">
        <w:rPr>
          <w:rFonts w:ascii="Arial" w:hAnsi="Arial" w:cs="Arial"/>
          <w:color w:val="auto"/>
          <w:szCs w:val="20"/>
        </w:rPr>
        <w:fldChar w:fldCharType="begin" w:fldLock="1"/>
      </w:r>
      <w:r w:rsidR="00B45545" w:rsidRPr="009B48B5">
        <w:rPr>
          <w:rFonts w:ascii="Arial" w:hAnsi="Arial" w:cs="Arial"/>
          <w:color w:val="auto"/>
          <w:szCs w:val="20"/>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Kata","author":[{"dropping-particle":"","family":"Adolph","given":"Ralph","non-dropping-particle":"","parse-names":false,"suffix":""}],"id":"ITEM-1","issue":"1","issued":{"date-parts":[["2016"]]},"page":"1-23","title":"</w:instrText>
      </w:r>
      <w:r w:rsidR="00B45545" w:rsidRPr="009B48B5">
        <w:rPr>
          <w:rFonts w:ascii="MS Gothic" w:eastAsia="MS Gothic" w:hAnsi="MS Gothic" w:cs="MS Gothic" w:hint="eastAsia"/>
          <w:color w:val="auto"/>
          <w:szCs w:val="20"/>
        </w:rPr>
        <w:instrText>済無</w:instrText>
      </w:r>
      <w:r w:rsidR="00B45545" w:rsidRPr="009B48B5">
        <w:rPr>
          <w:rFonts w:ascii="Arial" w:hAnsi="Arial" w:cs="Arial"/>
          <w:color w:val="auto"/>
          <w:szCs w:val="20"/>
        </w:rPr>
        <w:instrText>No Title No Title No Title","type":"article-journal","volume":"1"},"uris":["http://www.mendeley.com/documents/?uuid=b5fe3219-87dc-4e88-8e3f-8c984ad9cede"]}],"mendeley":{"formattedCitation":"(Adolph, 2016)","plainTextFormattedCitation":"(Adolph, 2016)","previouslyFormattedCitation":"(Adolph, 2016)"},"properties":{"noteIndex":0},"schema":"https://github.com/citation-style-language/schema/raw/master/csl-citation.json"}</w:instrText>
      </w:r>
      <w:r w:rsidR="00B45545" w:rsidRPr="009B48B5">
        <w:rPr>
          <w:rFonts w:ascii="Arial" w:hAnsi="Arial" w:cs="Arial"/>
          <w:color w:val="auto"/>
          <w:szCs w:val="20"/>
        </w:rPr>
        <w:fldChar w:fldCharType="separate"/>
      </w:r>
      <w:r w:rsidR="00B45545" w:rsidRPr="009B48B5">
        <w:rPr>
          <w:rFonts w:ascii="Arial" w:hAnsi="Arial" w:cs="Arial"/>
          <w:noProof/>
          <w:color w:val="auto"/>
          <w:szCs w:val="20"/>
        </w:rPr>
        <w:t>(Adolph, 2016)</w:t>
      </w:r>
      <w:r w:rsidR="00B45545" w:rsidRPr="009B48B5">
        <w:rPr>
          <w:rFonts w:ascii="Arial" w:hAnsi="Arial" w:cs="Arial"/>
          <w:color w:val="auto"/>
          <w:szCs w:val="20"/>
        </w:rPr>
        <w:fldChar w:fldCharType="end"/>
      </w:r>
      <w:r w:rsidR="00B45545" w:rsidRPr="009B48B5">
        <w:rPr>
          <w:rFonts w:ascii="Arial" w:hAnsi="Arial" w:cs="Arial"/>
          <w:color w:val="auto"/>
          <w:szCs w:val="20"/>
        </w:rPr>
        <w:t xml:space="preserve">; </w:t>
      </w:r>
      <w:r w:rsidR="00B45545" w:rsidRPr="009B48B5">
        <w:rPr>
          <w:rFonts w:ascii="Arial" w:hAnsi="Arial" w:cs="Arial"/>
          <w:color w:val="auto"/>
          <w:szCs w:val="20"/>
        </w:rPr>
        <w:fldChar w:fldCharType="begin" w:fldLock="1"/>
      </w:r>
      <w:r w:rsidR="00EC0141" w:rsidRPr="009B48B5">
        <w:rPr>
          <w:rFonts w:ascii="Arial" w:hAnsi="Arial" w:cs="Arial"/>
          <w:color w:val="auto"/>
          <w:szCs w:val="20"/>
        </w:rPr>
        <w:instrText>ADDIN CSL_CITATION {"citationItems":[{"id":"ITEM-1","itemData":{"ISBN":"0107058901","abstract":"75 halaman","author":[{"dropping-particle":"","family":"Fithri","given":"Beby Suryani","non-dropping-particle":"","parse-names":false,"suffix":""}],"container-title":"Ilmu Hukum Universitas Medan Area","id":"ITEM-1","issued":{"date-parts":[["2020"]]},"title":"Pendekatan Preventif Dalam Upaya Perlindungan Korban Tindak Pidana Narkotika","type":"book"},"uris":["http://www.mendeley.com/documents/?uuid=50c8be03-c44b-41d3-a56d-b54fed222584"]}],"mendeley":{"formattedCitation":"(Fithri, 2020)","plainTextFormattedCitation":"(Fithri, 2020)","previouslyFormattedCitation":"(Fithri, 2020)"},"properties":{"noteIndex":0},"schema":"https://github.com/citation-style-language/schema/raw/master/csl-citation.json"}</w:instrText>
      </w:r>
      <w:r w:rsidR="00B45545" w:rsidRPr="009B48B5">
        <w:rPr>
          <w:rFonts w:ascii="Arial" w:hAnsi="Arial" w:cs="Arial"/>
          <w:color w:val="auto"/>
          <w:szCs w:val="20"/>
        </w:rPr>
        <w:fldChar w:fldCharType="separate"/>
      </w:r>
      <w:r w:rsidR="00B45545" w:rsidRPr="009B48B5">
        <w:rPr>
          <w:rFonts w:ascii="Arial" w:hAnsi="Arial" w:cs="Arial"/>
          <w:noProof/>
          <w:color w:val="auto"/>
          <w:szCs w:val="20"/>
        </w:rPr>
        <w:t>(Fithri, 2020)</w:t>
      </w:r>
      <w:r w:rsidR="00B45545" w:rsidRPr="009B48B5">
        <w:rPr>
          <w:rFonts w:ascii="Arial" w:hAnsi="Arial" w:cs="Arial"/>
          <w:color w:val="auto"/>
          <w:szCs w:val="20"/>
        </w:rPr>
        <w:fldChar w:fldCharType="end"/>
      </w:r>
      <w:r w:rsidR="00B45545" w:rsidRPr="009B48B5">
        <w:rPr>
          <w:rFonts w:ascii="Arial" w:hAnsi="Arial" w:cs="Arial"/>
          <w:color w:val="auto"/>
          <w:szCs w:val="20"/>
        </w:rPr>
        <w:t xml:space="preserve"> </w:t>
      </w:r>
      <w:r w:rsidR="000F0085" w:rsidRPr="009B48B5">
        <w:rPr>
          <w:rFonts w:ascii="Arial" w:hAnsi="Arial" w:cs="Arial"/>
          <w:color w:val="auto"/>
          <w:szCs w:val="20"/>
        </w:rPr>
        <w:t>.</w:t>
      </w:r>
      <w:r w:rsidRPr="009B48B5">
        <w:rPr>
          <w:szCs w:val="20"/>
        </w:rPr>
        <w:t xml:space="preserve"> </w:t>
      </w:r>
      <w:r w:rsidRPr="009B48B5">
        <w:rPr>
          <w:rFonts w:ascii="Arial" w:hAnsi="Arial" w:cs="Arial"/>
          <w:color w:val="auto"/>
          <w:szCs w:val="20"/>
        </w:rPr>
        <w:t xml:space="preserve">Furthermore, the provision of social support for individuals undergoing rehabilitation is essential to reducing social stigma and fostering sustainable recovery </w:t>
      </w:r>
      <w:r w:rsidR="00B45545" w:rsidRPr="009B48B5">
        <w:rPr>
          <w:rFonts w:ascii="Arial" w:hAnsi="Arial" w:cs="Arial"/>
          <w:color w:val="auto"/>
          <w:szCs w:val="20"/>
        </w:rPr>
        <w:fldChar w:fldCharType="begin" w:fldLock="1"/>
      </w:r>
      <w:r w:rsidR="00B45545" w:rsidRPr="009B48B5">
        <w:rPr>
          <w:rFonts w:ascii="Arial" w:hAnsi="Arial" w:cs="Arial"/>
          <w:color w:val="auto"/>
          <w:szCs w:val="20"/>
        </w:rPr>
        <w:instrText>ADDIN CSL_CITATION {"citationItems":[{"id":"ITEM-1","itemData":{"DOI":"10.23887/jatayu.v5i1.45925","ISSN":"2714-7983","abstract":"Penelitian ini bertujuan untuk mengetahui dan menganalisa mengenai faktor-faktor yang menyebabkan timbulnya penyalahgunaan narkotika pada anak di Kabupaten Buleleng, serta mengetahui dan menganalisa mengenai upaya penanggulangan tindak pidana narkotika pada anak di Kabupaten Buleleng. Dalam penelitian ini, jenis penelitian yang digunakan adalah jenis penelitian hukum empiris dengan menggunakan sifat penelitian deskriptif. Adapun data dan sumber data yang digunakan yakni data primer dan data sekunder yang terdiri dari bahan hukum primer, bahan hukum sekunder, dan bahan hukum tersier. Teknik pengumpulan data yang digunakan yakni teknik studi dokumen, teknik observasi, dan teknik wawancara.  Teknik penentuan sampel yang digunakan adalah teknik non probability sampling dan penentuan subjeknya menggunakan teknik purposive sampling. Selanjutnya data yang diperoleh diolah dan dianalisis secara kualitatif. Hasil penelitian menunjukkan bahwa faktor-faktor yang menyebabkan timbulnya penyalahgunaan narkotika pada anak di Kabupaten Buleleng meliputi faktor internal dan faktor eksternal. Faktor internalnya terdiri dari faktor pribadi atau keinginan diri serta faktor mental dan spiritual, sedangkan faktor eksternalnya terdiri dari faktor keluarga, faktor IT, serta faktor ekonomi dan pendidikan. Kemudian upaya yang dilakukan dalam penanggulangan tindak pidana narkotika pada anak di Kabupaten Buleleng dapat dikelompokkan menjadi dua cara yakni secara non penal (di luar hukum pidana) dan secara penal (berdasarkan hukum pidana). Secara non penal upaya yang dilakukan melalui upaya pre-emtif (pencegahan) dan upaya preventif (pengendalian), sedangkan secara penal melalui upaya represif (penindakan), upaya kuratif (pengobatan), dan upaya rehabilitatif (pemulihan). Dalam menjalankan upaya-upaya tersebut terdapat beberapa hambatan yang dihadapi yakni hambatan yang berasal dari internal instansi dan hambatan yang berasal dari eksternal instansi.","author":[{"dropping-particle":"","family":"Pramita","given":"Kadek Desy","non-dropping-particle":"","parse-names":false,"suffix":""},{"dropping-particle":"","family":"Mangku","given":"Dewa Gede Sudika","non-dropping-particle":"","parse-names":false,"suffix":""},{"dropping-particle":"","family":"Yuliartini","given":"Ni Putu Rai","non-dropping-particle":"","parse-names":false,"suffix":""}],"container-title":"Jurnal Komunitas Yustisia","id":"ITEM-1","issue":"1","issued":{"date-parts":[["2022"]]},"page":"28-37","title":"Penanggulangan Tindak Pidana Narkotika Pada Anak Di Kabupaten Buleleng","type":"article-journal","volume":"5"},"uris":["http://www.mendeley.com/documents/?uuid=02ea01a2-01fc-49b0-bbd3-dcf165cc7586"]}],"mendeley":{"formattedCitation":"(Pramita et al., 2022)","plainTextFormattedCitation":"(Pramita et al., 2022)","previouslyFormattedCitation":"(Pramita et al., 2022)"},"properties":{"noteIndex":0},"schema":"https://github.com/citation-style-language/schema/raw/master/csl-citation.json"}</w:instrText>
      </w:r>
      <w:r w:rsidR="00B45545" w:rsidRPr="009B48B5">
        <w:rPr>
          <w:rFonts w:ascii="Arial" w:hAnsi="Arial" w:cs="Arial"/>
          <w:color w:val="auto"/>
          <w:szCs w:val="20"/>
        </w:rPr>
        <w:fldChar w:fldCharType="separate"/>
      </w:r>
      <w:r w:rsidR="00B45545" w:rsidRPr="009B48B5">
        <w:rPr>
          <w:rFonts w:ascii="Arial" w:hAnsi="Arial" w:cs="Arial"/>
          <w:noProof/>
          <w:color w:val="auto"/>
          <w:szCs w:val="20"/>
        </w:rPr>
        <w:t>(Pramita et al., 2022)</w:t>
      </w:r>
      <w:r w:rsidR="00B45545" w:rsidRPr="009B48B5">
        <w:rPr>
          <w:rFonts w:ascii="Arial" w:hAnsi="Arial" w:cs="Arial"/>
          <w:color w:val="auto"/>
          <w:szCs w:val="20"/>
        </w:rPr>
        <w:fldChar w:fldCharType="end"/>
      </w:r>
      <w:r w:rsidR="000F0085" w:rsidRPr="009B48B5">
        <w:rPr>
          <w:rFonts w:ascii="Arial" w:hAnsi="Arial" w:cs="Arial"/>
          <w:color w:val="auto"/>
          <w:szCs w:val="20"/>
        </w:rPr>
        <w:t>.</w:t>
      </w:r>
    </w:p>
    <w:p w14:paraId="4E74DD28" w14:textId="3225B9F5" w:rsidR="000F0085" w:rsidRPr="009B48B5" w:rsidRDefault="005520C5" w:rsidP="009B48B5">
      <w:pPr>
        <w:pStyle w:val="JW37itemize"/>
        <w:numPr>
          <w:ilvl w:val="0"/>
          <w:numId w:val="0"/>
        </w:numPr>
        <w:spacing w:line="480" w:lineRule="auto"/>
        <w:ind w:firstLine="709"/>
        <w:rPr>
          <w:rFonts w:ascii="Arial" w:hAnsi="Arial" w:cs="Arial"/>
          <w:color w:val="auto"/>
          <w:szCs w:val="20"/>
        </w:rPr>
      </w:pPr>
      <w:r w:rsidRPr="009B48B5">
        <w:rPr>
          <w:rFonts w:ascii="Arial" w:hAnsi="Arial" w:cs="Arial"/>
          <w:color w:val="auto"/>
          <w:szCs w:val="20"/>
        </w:rPr>
        <w:t xml:space="preserve">Despite numerous interventions, the prevalence of drug abuse in Indonesia has not shown a significant decline </w:t>
      </w:r>
      <w:r w:rsidR="00B45545" w:rsidRPr="009B48B5">
        <w:rPr>
          <w:rFonts w:ascii="Arial" w:hAnsi="Arial" w:cs="Arial"/>
          <w:color w:val="auto"/>
          <w:szCs w:val="20"/>
        </w:rPr>
        <w:fldChar w:fldCharType="begin" w:fldLock="1"/>
      </w:r>
      <w:r w:rsidR="00B45545" w:rsidRPr="009B48B5">
        <w:rPr>
          <w:rFonts w:ascii="Arial" w:hAnsi="Arial" w:cs="Arial"/>
          <w:color w:val="auto"/>
          <w:szCs w:val="20"/>
        </w:rPr>
        <w:instrText>ADDIN CSL_CITATION {"citationItems":[{"id":"ITEM-1","itemData":{"DOI":"10.31538/nidhomulhaq.v3i1.101","abstract":"This paper aims to provide educational steps to institutions and agencies that implement rehabilitation programs of active or passive addicts of narcotics users. Institutions that make efforts to cure victims of drug abusers tend to pay less attention to the precise step that is the right step to do before the provision of materials or other religious approach programs. Drug Abuse has dangerous consequences, so the problem of drugs is classified into extra ordinary problems, ie problems that have no end. Various efforts have been made by the Government from preventive to rehabilitative. However, the problem has not yet been resolved, it increases in the next year. This mitigation effort can not be fully burdened to the government only, there needs to be synergy between government, society, parents, and related institutions in their field. This effort is one form of mutual concern that has been listed in the Narcotics Act, and planting aqidah through this muhasabah program as a preventive effort that can be done by institutions and NGOs in charge of rehabilitation of addicts. Research that the authors do is a qualitative type with qualitative descriptive analysis approach. The data of this study were collected through interviews and document analysis. The results show that there is a significant change of conscious attitude in receiving materials, direction, and other debriefing during rehabilitation process.","author":[{"dropping-particle":"","family":"Saefulloh","given":"Ahmad","non-dropping-particle":"","parse-names":false,"suffix":""}],"container-title":"Nidhomul Haq: Jurnal Manajemen Pendidikan Islam","id":"ITEM-1","issue":"1","issued":{"date-parts":[["2018"]]},"page":"44-56","title":"Muhasabah Sebagai Upaya Rehabilitasi Eks-Pecandu Narkoba Di Yayasan Suci Hati Padang","type":"article-journal","volume":"3"},"uris":["http://www.mendeley.com/documents/?uuid=86620434-a7b4-4f53-b5ac-164e4b85e241"]}],"mendeley":{"formattedCitation":"(Saefulloh, 2018)","plainTextFormattedCitation":"(Saefulloh, 2018)","previouslyFormattedCitation":"(Saefulloh, 2018)"},"properties":{"noteIndex":0},"schema":"https://github.com/citation-style-language/schema/raw/master/csl-citation.json"}</w:instrText>
      </w:r>
      <w:r w:rsidR="00B45545" w:rsidRPr="009B48B5">
        <w:rPr>
          <w:rFonts w:ascii="Arial" w:hAnsi="Arial" w:cs="Arial"/>
          <w:color w:val="auto"/>
          <w:szCs w:val="20"/>
        </w:rPr>
        <w:fldChar w:fldCharType="separate"/>
      </w:r>
      <w:r w:rsidR="00B45545" w:rsidRPr="009B48B5">
        <w:rPr>
          <w:rFonts w:ascii="Arial" w:hAnsi="Arial" w:cs="Arial"/>
          <w:noProof/>
          <w:color w:val="auto"/>
          <w:szCs w:val="20"/>
        </w:rPr>
        <w:t>(Saefulloh, 2018)</w:t>
      </w:r>
      <w:r w:rsidR="00B45545" w:rsidRPr="009B48B5">
        <w:rPr>
          <w:rFonts w:ascii="Arial" w:hAnsi="Arial" w:cs="Arial"/>
          <w:color w:val="auto"/>
          <w:szCs w:val="20"/>
        </w:rPr>
        <w:fldChar w:fldCharType="end"/>
      </w:r>
      <w:r w:rsidR="000F0085" w:rsidRPr="009B48B5">
        <w:rPr>
          <w:rFonts w:ascii="Arial" w:hAnsi="Arial" w:cs="Arial"/>
          <w:color w:val="auto"/>
          <w:szCs w:val="20"/>
        </w:rPr>
        <w:t>.</w:t>
      </w:r>
      <w:r w:rsidRPr="009B48B5">
        <w:rPr>
          <w:szCs w:val="20"/>
        </w:rPr>
        <w:t xml:space="preserve"> </w:t>
      </w:r>
      <w:r w:rsidRPr="009B48B5">
        <w:rPr>
          <w:rFonts w:ascii="Arial" w:hAnsi="Arial" w:cs="Arial"/>
          <w:color w:val="auto"/>
          <w:szCs w:val="20"/>
        </w:rPr>
        <w:t>Recent data indicate that the national drug emergency is becoming increasingly complex. The root cause lies in the ineffective implementation of policies at both strategic and operational levels, despite the existence of a comprehensive legal framework</w:t>
      </w:r>
      <w:r w:rsidR="000F0085" w:rsidRPr="009B48B5">
        <w:rPr>
          <w:rFonts w:ascii="Arial" w:hAnsi="Arial" w:cs="Arial"/>
          <w:color w:val="auto"/>
          <w:szCs w:val="20"/>
        </w:rPr>
        <w:t xml:space="preserve"> </w:t>
      </w:r>
      <w:r w:rsidR="00B45545" w:rsidRPr="009B48B5">
        <w:rPr>
          <w:rFonts w:ascii="Arial" w:hAnsi="Arial" w:cs="Arial"/>
          <w:color w:val="auto"/>
          <w:szCs w:val="20"/>
        </w:rPr>
        <w:fldChar w:fldCharType="begin" w:fldLock="1"/>
      </w:r>
      <w:r w:rsidR="00B45545" w:rsidRPr="009B48B5">
        <w:rPr>
          <w:rFonts w:ascii="Arial" w:hAnsi="Arial" w:cs="Arial"/>
          <w:color w:val="auto"/>
          <w:szCs w:val="20"/>
        </w:rPr>
        <w:instrText>ADDIN CSL_CITATION {"citationItems":[{"id":"ITEM-1","itemData":{"DOI":"10.52103/jlp.v1i1.29","ISSN":"2722-1237","abstract":"Tujuan penelitian ini adalah: 1) Untuk mengetahui dan menganalisis efektivitas penanggulangan peredaran dan penyalahgunaan narkotika di Badan Narkotika Nasional Provinsi Sulawesi Selatan,dan 2) Untuk mengetahui dan menganalisis faktor-faktor yang mempengaruhi efektivitas penanggulangan peredaran dan penyalahgunaan narkotika di Badan Narkotika Nasional Provinsi Sulawesi Selatan. Tipe penelitian ini adalah penelitian deskriptif dengan pendekatan yuridis-empiris. Hasil penelitian menunjukkan bahwa penanggulangan peredaran dan penyalahgunaan narkotika di Badan Narkotika Nasional Provinsi Sulawesi Selatan terlaksana kurang efektif, termasuk sarana non penal yang meliputi: upaya pre-emptif, upaya preventif, dan upaya represif yang telah dilakukan oleh pihak kepolisian peraturan perundang-undangan yang berlaku. Begitu pula sarana penal melalui eksistensi Undang-Undang Nomor 35 Tahun 2009 tentang Narkotika sebagai suatu kondisi kondusif yang sangat membantu penegakan hukum di masa akan datang. Faktor ketaatan hukum, sumber daya manusia, sarana dan prasarana, biaya operasional kurang mempengaruhi efektivitas penanggulangan peredaran dan penyalahgunaan narkotika di Badan Narkotika Nasional Provinsi Sulawesi Selatan, disebabkan oleh keterbatasan sumber daya manusia termasuk anggota BNN Provinsi Sulawesi Selatan masih kurang mencukupi, biaya operasional serta sarana dan prasana pendukung kegiatan juga masih kurang tersedia dan memadai, wilayah hukum yang cukup luas, dan kesadaran masyarakat juga masih rendah dalam membantu pihak BNN menanggulangi peredaran dan penyalahgunaan narkotika.\r The purpose of this study are: 1) To find out and analyze the effectiveness of the handling of narcotics distribution and abuse in the National Narcotics Agency of South Sulawesi Province, and 2) To find out and analyze the factors that influence the effectiveness of narcotics distribution and abuse prevention in the National Narcotics Agency of South Sulawesi Province. This type of research is a descriptive study with a juridical-empirical approach. The results showed that the handling of narcotics distribution and abuse in the National Narcotics Agency of South Sulawesi Province was implemented less effectively, including non-penal means which included: pre-emptive efforts, preventive measures, and repressive efforts that had been carried out by the police in the applicable laws and regulations. . Likewise, the means of punishment through the existence of Law Number 35 Year 2009 c…","author":[{"dropping-particle":"","family":"Afandi","given":"Aswan","non-dropping-particle":"","parse-names":false,"suffix":""},{"dropping-particle":"","family":"Thalib","given":"Hambali","non-dropping-particle":"","parse-names":false,"suffix":""},{"dropping-particle":"","family":"Agis","given":"Abdul","non-dropping-particle":"","parse-names":false,"suffix":""}],"container-title":"Journal of Lex Philosophy (JLP)","id":"ITEM-1","issue":"1","issued":{"date-parts":[["2020"]]},"page":"99-121","title":"Efektivitas Penanggulangan Peredaran &amp; Penyalahgunaan Narkotika Oleh Badan Nasional Narkotika Sulawesi Selatan","type":"article-journal","volume":"1"},"uris":["http://www.mendeley.com/documents/?uuid=ec157f10-2d12-4c01-90f1-c92bf8cbb7a0"]}],"mendeley":{"formattedCitation":"(Afandi et al., 2020)","plainTextFormattedCitation":"(Afandi et al., 2020)","previouslyFormattedCitation":"(Afandi et al., 2020)"},"properties":{"noteIndex":0},"schema":"https://github.com/citation-style-language/schema/raw/master/csl-citation.json"}</w:instrText>
      </w:r>
      <w:r w:rsidR="00B45545" w:rsidRPr="009B48B5">
        <w:rPr>
          <w:rFonts w:ascii="Arial" w:hAnsi="Arial" w:cs="Arial"/>
          <w:color w:val="auto"/>
          <w:szCs w:val="20"/>
        </w:rPr>
        <w:fldChar w:fldCharType="separate"/>
      </w:r>
      <w:r w:rsidR="00B45545" w:rsidRPr="009B48B5">
        <w:rPr>
          <w:rFonts w:ascii="Arial" w:hAnsi="Arial" w:cs="Arial"/>
          <w:noProof/>
          <w:color w:val="auto"/>
          <w:szCs w:val="20"/>
        </w:rPr>
        <w:t>(Afandi et al., 2020)</w:t>
      </w:r>
      <w:r w:rsidR="00B45545" w:rsidRPr="009B48B5">
        <w:rPr>
          <w:rFonts w:ascii="Arial" w:hAnsi="Arial" w:cs="Arial"/>
          <w:color w:val="auto"/>
          <w:szCs w:val="20"/>
        </w:rPr>
        <w:fldChar w:fldCharType="end"/>
      </w:r>
      <w:r w:rsidR="000F0085" w:rsidRPr="009B48B5">
        <w:rPr>
          <w:rFonts w:ascii="Arial" w:hAnsi="Arial" w:cs="Arial"/>
          <w:color w:val="auto"/>
          <w:szCs w:val="20"/>
        </w:rPr>
        <w:t xml:space="preserve">. </w:t>
      </w:r>
      <w:r w:rsidRPr="009B48B5">
        <w:rPr>
          <w:rFonts w:ascii="Arial" w:hAnsi="Arial" w:cs="Arial"/>
          <w:color w:val="auto"/>
          <w:szCs w:val="20"/>
        </w:rPr>
        <w:t xml:space="preserve">Implementation deficiencies are further exacerbated by inadequate intersectoral coordination and limitations in human resources, financial allocations, and infrastructure capacity </w:t>
      </w:r>
      <w:r w:rsidR="00B45545" w:rsidRPr="009B48B5">
        <w:rPr>
          <w:rFonts w:ascii="Arial" w:hAnsi="Arial" w:cs="Arial"/>
          <w:color w:val="auto"/>
          <w:szCs w:val="20"/>
        </w:rPr>
        <w:fldChar w:fldCharType="begin" w:fldLock="1"/>
      </w:r>
      <w:r w:rsidR="00B45545" w:rsidRPr="009B48B5">
        <w:rPr>
          <w:rFonts w:ascii="Arial" w:hAnsi="Arial" w:cs="Arial"/>
          <w:color w:val="auto"/>
          <w:szCs w:val="20"/>
        </w:rPr>
        <w:instrText>ADDIN CSL_CITATION {"citationItems":[{"id":"ITEM-1","itemData":{"DOI":"10.22225/jph.2.1.3043.11-15","ISSN":"2746-5039","abstract":"Narcotics misappropriations have the bad impacts for nation generation continuance. The anticipation needs cooperation from all society elements, such as family, every education stages until universities and government must be united on narcotic. Prevention efforts in environment around them. The aims of this research are as follows: 1. To find out the steps which are applied by low enforcement in against narcotics misappropriation, 2. To find out and understand about doubt imposition which is did by the users of narcotics misappropriation. The law object source of this research is primary and secondary law object, the technique of accumulating is using document regristration method and recite the law regulations which are related to the problem and analysis by using descriptive qualitative.From the result of observation and researsech, the step that all of society element in narcotic prevention efforts in society environment, such as: 1. Promotive method, 2. Presentative method, 3. Repressive method, 4. Curative method, 5. Rehabilation. Criminal doubt is given for the narcotics addict who is walk on punishment period in jail, where as the action doubt is given for narcotics addict who become as a victim. Therapy and treatment will held as the rehabilition facilities.Government as policy taker is expected can formulate laws and regulations which are more binding in controlling and production of narcotics in Indonesia, and there is needs socialiscation and eludication about the impact of narcotics misappropriation.","author":[{"dropping-particle":"","family":"Pradnyantari","given":"Made Ratih","non-dropping-particle":"","parse-names":false,"suffix":""},{"dropping-particle":"","family":"Suryawan","given":"I Gusti Bagus","non-dropping-particle":"","parse-names":false,"suffix":""},{"dropping-particle":"","family":"Sujana","given":"I Nyoman","non-dropping-particle":"","parse-names":false,"suffix":""}],"container-title":"Jurnal Preferensi Hukum","id":"ITEM-1","issue":"1","issued":{"date-parts":[["2021"]]},"page":"11-15","title":"Penegakan Hukum terhadap Penyalahgunaan Narkotika","type":"article-journal","volume":"2"},"uris":["http://www.mendeley.com/documents/?uuid=9e06b905-ddaa-4e9e-9b19-104171aa9b29"]}],"mendeley":{"formattedCitation":"(Pradnyantari et al., 2021)","plainTextFormattedCitation":"(Pradnyantari et al., 2021)","previouslyFormattedCitation":"(Pradnyantari et al., 2021)"},"properties":{"noteIndex":0},"schema":"https://github.com/citation-style-language/schema/raw/master/csl-citation.json"}</w:instrText>
      </w:r>
      <w:r w:rsidR="00B45545" w:rsidRPr="009B48B5">
        <w:rPr>
          <w:rFonts w:ascii="Arial" w:hAnsi="Arial" w:cs="Arial"/>
          <w:color w:val="auto"/>
          <w:szCs w:val="20"/>
        </w:rPr>
        <w:fldChar w:fldCharType="separate"/>
      </w:r>
      <w:r w:rsidR="00B45545" w:rsidRPr="009B48B5">
        <w:rPr>
          <w:rFonts w:ascii="Arial" w:hAnsi="Arial" w:cs="Arial"/>
          <w:noProof/>
          <w:color w:val="auto"/>
          <w:szCs w:val="20"/>
        </w:rPr>
        <w:t>(Pradnyantari et al., 2021)</w:t>
      </w:r>
      <w:r w:rsidR="00B45545" w:rsidRPr="009B48B5">
        <w:rPr>
          <w:rFonts w:ascii="Arial" w:hAnsi="Arial" w:cs="Arial"/>
          <w:color w:val="auto"/>
          <w:szCs w:val="20"/>
        </w:rPr>
        <w:fldChar w:fldCharType="end"/>
      </w:r>
      <w:r w:rsidR="000F0085" w:rsidRPr="009B48B5">
        <w:rPr>
          <w:rFonts w:ascii="Arial" w:hAnsi="Arial" w:cs="Arial"/>
          <w:color w:val="auto"/>
          <w:szCs w:val="20"/>
        </w:rPr>
        <w:t xml:space="preserve">. </w:t>
      </w:r>
      <w:r w:rsidRPr="009B48B5">
        <w:rPr>
          <w:rFonts w:ascii="Arial" w:hAnsi="Arial" w:cs="Arial"/>
          <w:color w:val="auto"/>
          <w:szCs w:val="20"/>
        </w:rPr>
        <w:t xml:space="preserve">Preventive measures, which should constitute the frontline of national anti-narcotics strategies, remain inconsistently distributed and are frequently reduced to fragmented, short-term campaigns lacking sustainability </w:t>
      </w:r>
      <w:r w:rsidR="00B45545" w:rsidRPr="009B48B5">
        <w:rPr>
          <w:rFonts w:ascii="Arial" w:hAnsi="Arial" w:cs="Arial"/>
          <w:color w:val="auto"/>
          <w:szCs w:val="20"/>
        </w:rPr>
        <w:fldChar w:fldCharType="begin" w:fldLock="1"/>
      </w:r>
      <w:r w:rsidR="00B45545" w:rsidRPr="009B48B5">
        <w:rPr>
          <w:rFonts w:ascii="Arial" w:hAnsi="Arial" w:cs="Arial"/>
          <w:color w:val="auto"/>
          <w:szCs w:val="20"/>
        </w:rPr>
        <w:instrText>ADDIN CSL_CITATION {"citationItems":[{"id":"ITEM-1","itemData":{"DOI":"10.24198/jppm.v2i3.36796","ISSN":"2775-1910","abstract":"Kasus penyalahgunaan Narkoba di negara semakin hari semakin mengkhawatirkan, hal ini terbukti dengan peningkatan jumlah pengguna narkoba di kalangan remaja secara signifikan. Anak pada usia remaja merupakan fase usia yang rentan untuk terjerumus dalam penggunaan narkoba yang dianggap sebagai sesuatu yang baru dan menantang. Remaja juga menjadi mudah tergoda ketika dalam keadaan frustasi atau depresi sehingga mudah jatuh pada masalah penyalahgunaan narkoba. Artikel ini bertujuan untuk menggambarkan fenomena penyalahgunaan narkoba di kalangan remaja dan upaya penanggulangannya. Penelitian ini menggunakan pendekatan kualitatif dan merupakan studi deskriptif. Dengan menggunakan metode kualitatif, diharapkan penelitian dapat memberikan gambaran secara mendalam mengenai kasus dan penanganan narkoba di Indonesia. Proses penelitian meliputi berbagai tahap yaitu mengumpulkan data-data non-numerik yang kemudian dianalisis berdasarkan landasan konseptual, sehingga pada akhirnya dapat ditarik kesimpulan penelitian ini. Hasil penelitian menunjukan bahwa di Indonesia saat ini narkoba telah menyebar ke berbagai lapisan masyarakat khususnya kalangan remaja. Indonesia sudah dalam situasi darurat narkoba, dan tentunya hal ini harus menjadi perhatian seluruh pihak dan elemen masyarakat. Kasus penyalahgunaan Narkoba pada kalangan remaja saat ini menunjukan peningkatan, hal ini disebabkan karena remaja cenderung ingin menyerap nilai-nilai baru, selalu ingin tahu dan selalu ingin mencoba hal baru, termasuk terhadap sesuatu hal yang mengandung bahaya atau resiko (risk taking behavior) yakni mencoba konsumsi Narkoba. Sementara itu upaya penanganan yang perlu dilakukan terhadap permasalahan penyalahgunaan narkoba dikalangan remaja, yakni berbagai upaya preventif atau pencegahan, edukasi serta kampanye anti narkoba, dan upaya penindakan, yang perlu dilakukan secara massive mulai dari lingkungan keluarga, lingkungan sekolah dan lingkungan masyarakat.","author":[{"dropping-particle":"","family":"Lukman","given":"Gilza Azzahra","non-dropping-particle":"","parse-names":false,"suffix":""},{"dropping-particle":"","family":"Alifah","given":"Anisa Putri","non-dropping-particle":"","parse-names":false,"suffix":""},{"dropping-particle":"","family":"Divarianti","given":"Almira","non-dropping-particle":"","parse-names":false,"suffix":""},{"dropping-particle":"","family":"Humaedi","given":"Sahadi","non-dropping-particle":"","parse-names":false,"suffix":""}],"container-title":"Jurnal Penelitian dan Pengabdian Kepada Masyarakat (JPPM)","id":"ITEM-1","issue":"3","issued":{"date-parts":[["2022"]]},"page":"405","title":"Kasus Narkoba Di Indonesia Dan Upaya Pencegahannya Di Kalangan Remaja","type":"article-journal","volume":"2"},"uris":["http://www.mendeley.com/documents/?uuid=f83040b3-2cc7-465b-8dcd-0612712083d9"]}],"mendeley":{"formattedCitation":"(Lukman et al., 2022)","plainTextFormattedCitation":"(Lukman et al., 2022)","previouslyFormattedCitation":"(Lukman et al., 2022)"},"properties":{"noteIndex":0},"schema":"https://github.com/citation-style-language/schema/raw/master/csl-citation.json"}</w:instrText>
      </w:r>
      <w:r w:rsidR="00B45545" w:rsidRPr="009B48B5">
        <w:rPr>
          <w:rFonts w:ascii="Arial" w:hAnsi="Arial" w:cs="Arial"/>
          <w:color w:val="auto"/>
          <w:szCs w:val="20"/>
        </w:rPr>
        <w:fldChar w:fldCharType="separate"/>
      </w:r>
      <w:r w:rsidR="00B45545" w:rsidRPr="009B48B5">
        <w:rPr>
          <w:rFonts w:ascii="Arial" w:hAnsi="Arial" w:cs="Arial"/>
          <w:noProof/>
          <w:color w:val="auto"/>
          <w:szCs w:val="20"/>
        </w:rPr>
        <w:t>(Lukman et al., 2022)</w:t>
      </w:r>
      <w:r w:rsidR="00B45545" w:rsidRPr="009B48B5">
        <w:rPr>
          <w:rFonts w:ascii="Arial" w:hAnsi="Arial" w:cs="Arial"/>
          <w:color w:val="auto"/>
          <w:szCs w:val="20"/>
        </w:rPr>
        <w:fldChar w:fldCharType="end"/>
      </w:r>
      <w:r w:rsidR="000F0085" w:rsidRPr="009B48B5">
        <w:rPr>
          <w:rFonts w:ascii="Arial" w:hAnsi="Arial" w:cs="Arial"/>
          <w:color w:val="auto"/>
          <w:szCs w:val="20"/>
        </w:rPr>
        <w:t>.</w:t>
      </w:r>
    </w:p>
    <w:p w14:paraId="745536B9" w14:textId="7BDE5ECE" w:rsidR="000F0085" w:rsidRPr="009B48B5" w:rsidRDefault="005520C5" w:rsidP="009B48B5">
      <w:pPr>
        <w:pStyle w:val="JW37itemize"/>
        <w:numPr>
          <w:ilvl w:val="0"/>
          <w:numId w:val="0"/>
        </w:numPr>
        <w:spacing w:line="480" w:lineRule="auto"/>
        <w:ind w:firstLine="709"/>
        <w:rPr>
          <w:rFonts w:ascii="Arial" w:hAnsi="Arial" w:cs="Arial"/>
          <w:color w:val="auto"/>
          <w:szCs w:val="20"/>
        </w:rPr>
      </w:pPr>
      <w:r w:rsidRPr="009B48B5">
        <w:rPr>
          <w:rFonts w:ascii="Arial" w:hAnsi="Arial" w:cs="Arial"/>
          <w:color w:val="auto"/>
          <w:szCs w:val="20"/>
        </w:rPr>
        <w:lastRenderedPageBreak/>
        <w:t xml:space="preserve">An additional challenge is the rising domestic demand for narcotics, driven by prevailing social and economic conditions, which has contributed to increased accessibility of illicit substances across diverse age groups and socio-economic categories </w:t>
      </w:r>
      <w:r w:rsidR="00B45545" w:rsidRPr="009B48B5">
        <w:rPr>
          <w:rFonts w:ascii="Arial" w:hAnsi="Arial" w:cs="Arial"/>
          <w:color w:val="auto"/>
          <w:szCs w:val="20"/>
        </w:rPr>
        <w:fldChar w:fldCharType="begin" w:fldLock="1"/>
      </w:r>
      <w:r w:rsidR="00B45545" w:rsidRPr="009B48B5">
        <w:rPr>
          <w:rFonts w:ascii="Arial" w:hAnsi="Arial" w:cs="Arial"/>
          <w:color w:val="auto"/>
          <w:szCs w:val="20"/>
        </w:rPr>
        <w:instrText>ADDIN CSL_CITATION {"citationItems":[{"id":"ITEM-1","itemData":{"DOI":"10.56190/jat.v2i1.16","ISSN":"2798-6624","abstract":"Upaya pencegahan terhadap bahaya penyalahgunaan narkoba perlu dilakukan dalam lingkungan masyarakat. Edukasi penyalahgunaan narkoba terhadap remaja dan masyarakat desa Botuwombato dan sekitarnya perlu mendapat perhatian pemerintah setempat. Melalui kegiatan KKN Tematik UNG tahun 2021, tim pendamping KKN bersama dengan mahasiswa KKN dari UNG melaksanakan kegiatan dalam bentuk sosialisasi terkait dengan penyalahgunaan narkoba di lingkungan masyarakat Desa Botuwombato. Kegiatan sosialisasi dilaksanakan pada tanggal 06 Oktober 2021 bertempat di kantor desa Botuwombato Kecamatan Kwandang Kabupaten Gorontalo. Manfaat dari sosialisasi ini bertujuan menambah wawasan dan edukasi masyarakat sekitar Desa Botuwombato terkait dengan jenis narkoba, dampak penggunaan narkoba, bentuk penanggulangan, serta keterkaitan hukum akibat pemakaian narkoba. Tim Pendamping kegiatan KKN UNG memotivasi masyarakat Desa Botuwombatu agar dapat melakukan gerakan preventif yang dimulai dari lingkungan keluarga hingga ke masyarakat luas agar terhindar dari bahaya narkoba. Luaran dari kegiatan sosialisasi adalah pembentukan sinergitas antara pemerintah setempat dan mayarakat dari Desa Botuwombatu dengan Badan Narkotika Nasional (BNN) yang berada di Kabupaten Gorontalo Utara. Pihak Badan Narkotika Nasional (BNN) membentuk tim Relawan Anti Narkoba di Desa Botuwombato. Pembentukan Relawan Anti Narkoba menjadikan masyarakat lebih memahami dan mengerti dampak hukum bagi penyalahgunaan narkoba.","author":[{"dropping-particle":"","family":"Hariana","given":"Hariana","non-dropping-particle":"","parse-names":false,"suffix":""},{"dropping-particle":"","family":"Mardin","given":"Herinda","non-dropping-particle":"","parse-names":false,"suffix":""},{"dropping-particle":"","family":"Lasalewo","given":"Trifandi","non-dropping-particle":"","parse-names":false,"suffix":""}],"container-title":"Jurnal Abdimas Terapan","id":"ITEM-1","issue":"1","issued":{"date-parts":[["2022"]]},"page":"5-9","title":"Sosialisasi Dalam Upaya Mewujudkan Desa Bersih Narkoba","type":"article-journal","volume":"2"},"uris":["http://www.mendeley.com/documents/?uuid=60556c4c-6ae0-4bf4-a3f3-f9d9684e92bb"]}],"mendeley":{"formattedCitation":"(Hariana et al., 2022)","plainTextFormattedCitation":"(Hariana et al., 2022)","previouslyFormattedCitation":"(Hariana et al., 2022)"},"properties":{"noteIndex":0},"schema":"https://github.com/citation-style-language/schema/raw/master/csl-citation.json"}</w:instrText>
      </w:r>
      <w:r w:rsidR="00B45545" w:rsidRPr="009B48B5">
        <w:rPr>
          <w:rFonts w:ascii="Arial" w:hAnsi="Arial" w:cs="Arial"/>
          <w:color w:val="auto"/>
          <w:szCs w:val="20"/>
        </w:rPr>
        <w:fldChar w:fldCharType="separate"/>
      </w:r>
      <w:r w:rsidR="00B45545" w:rsidRPr="009B48B5">
        <w:rPr>
          <w:rFonts w:ascii="Arial" w:hAnsi="Arial" w:cs="Arial"/>
          <w:noProof/>
          <w:color w:val="auto"/>
          <w:szCs w:val="20"/>
        </w:rPr>
        <w:t>(Hariana et al., 2022)</w:t>
      </w:r>
      <w:r w:rsidR="00B45545" w:rsidRPr="009B48B5">
        <w:rPr>
          <w:rFonts w:ascii="Arial" w:hAnsi="Arial" w:cs="Arial"/>
          <w:color w:val="auto"/>
          <w:szCs w:val="20"/>
        </w:rPr>
        <w:fldChar w:fldCharType="end"/>
      </w:r>
      <w:r w:rsidR="000F0085" w:rsidRPr="009B48B5">
        <w:rPr>
          <w:rFonts w:ascii="Arial" w:hAnsi="Arial" w:cs="Arial"/>
          <w:color w:val="auto"/>
          <w:szCs w:val="20"/>
        </w:rPr>
        <w:t xml:space="preserve">. </w:t>
      </w:r>
      <w:r w:rsidRPr="009B48B5">
        <w:rPr>
          <w:rFonts w:ascii="Arial" w:hAnsi="Arial" w:cs="Arial"/>
          <w:color w:val="auto"/>
          <w:szCs w:val="20"/>
        </w:rPr>
        <w:t xml:space="preserve">The absence of systematic surveillance and monitoring mechanisms undermines the early detection of new drug-related cases </w:t>
      </w:r>
      <w:r w:rsidR="00B45545" w:rsidRPr="009B48B5">
        <w:rPr>
          <w:rFonts w:ascii="Arial" w:hAnsi="Arial" w:cs="Arial"/>
          <w:color w:val="auto"/>
          <w:szCs w:val="20"/>
        </w:rPr>
        <w:fldChar w:fldCharType="begin" w:fldLock="1"/>
      </w:r>
      <w:r w:rsidR="00B45545" w:rsidRPr="009B48B5">
        <w:rPr>
          <w:rFonts w:ascii="Arial" w:hAnsi="Arial" w:cs="Arial"/>
          <w:color w:val="auto"/>
          <w:szCs w:val="20"/>
        </w:rPr>
        <w:instrText>ADDIN CSL_CITATION {"citationItems":[{"id":"ITEM-1","itemData":{"DOI":"10.20961/habitus.v2i2.28790","abstract":"Angka penyalah guna narkotika dan obat berbahaya (narkoba) di Surakarta mencapai 1,9% dari jumlah penduduk, mendekati angka nasional 2,2 %. Minimnya upaya preventif untuk menanggulangi penyalahgunaan narkoba, menjadi salah satu sebabnya. Dari jumlah itu, 22 % di antaranya adalah remaja yang sebagian besar adalah pelajar dan mahasiswa. Melihat besarnya pengaruh membership group bagi remaja, dilakukan kegiatan pengabdian Program Kemitraan Masyarakat (PKM) dengan strategi pendidikan sebaya (peer education stategy) untuk meningkatkan pengetahuan remaja tentang bahaya penyelahgunaan narkoba. Kelompok remaja yang dipilih adalah Forum Anak Surakarta (FAS), sebagai forum yang strategis untuk promosi bahaya penyalahgunaan narkoba. FAS pernah mendapatkan penyuluhan tentang kesehatan termasuk narkoba, namun yang secara khusus melibatkan mereka sebagai peer educator belum pernah mereka ikuti. Kegiatan PKM diikuti oleh 15 anak yang merupakan pengurus dan anggota FAS. Kegiatan diawali dengan mengidentifikasi pengetahuan FAS tentang narkoba. Selanjutnya memberikan pemahaman yang benar mengenai jenis-jenis dan dampak narkoba , dan jaringan kejahatan narkoba. Selanjutnya diberikan pemaparan tentang penguatan diri untuk menghindar dari bahaya narkoba, peran peer educator, serta pelatihan sebagai peer educator dengan simulasi pendampingan dan promosi tentang bahaya penyalahgunaan narkoba. Sarana pemaparan dan simulasi didukung dengan power point, buku saku, jaringan internet, alat tulis dan gambar, kamera, video, yang telah disiapkan oleh tim PKM. Sepanjang kegitan PKM, tim melakukan monitoring dan evaluasi. Hasil kegiatan menunjukkan bahwa pengetahuan anak-anak FAS tentang bahaya penyalahgunaan narkoba telah meningkat, khususnya berkaitan dengan jenis-jenis narkoba dan dampaknya, jaringan kejahatan narkoba, serta penguatan diri untuk menghindar dari bahaya narkoba. Kemampuan sebagai peer educator dapat dipraktekkan dengan pendekatan inovatif dengan menciptakan media kreatif : studi kasus melalui bermain peran, membuat meme, poster, vlog dan menggubah lagu.","author":[{"dropping-particle":"","family":"Pranawa","given":"Sigit","non-dropping-particle":"","parse-names":false,"suffix":""},{"dropping-particle":"","family":"Humsona","given":"Rahesli","non-dropping-particle":"","parse-names":false,"suffix":""},{"dropping-particle":"","family":"Yuliani","given":"Sri","non-dropping-particle":"","parse-names":false,"suffix":""}],"container-title":"Habitus: Jurnal Pendidikan, Sosiologi, &amp; Antropologi","id":"ITEM-1","issue":"2","issued":{"date-parts":[["2019"]]},"page":"183","title":"Meningkatkan Pengetahuan Remaja Tentang Bahaya Penyalahgunaan Narkoba Dengan Peer Education Strategy","type":"article-journal","volume":"2"},"uris":["http://www.mendeley.com/documents/?uuid=fe51ea39-4394-48ac-a7a6-0df82e59e153"]}],"mendeley":{"formattedCitation":"(Pranawa et al., 2019)","plainTextFormattedCitation":"(Pranawa et al., 2019)","previouslyFormattedCitation":"(Pranawa et al., 2019)"},"properties":{"noteIndex":0},"schema":"https://github.com/citation-style-language/schema/raw/master/csl-citation.json"}</w:instrText>
      </w:r>
      <w:r w:rsidR="00B45545" w:rsidRPr="009B48B5">
        <w:rPr>
          <w:rFonts w:ascii="Arial" w:hAnsi="Arial" w:cs="Arial"/>
          <w:color w:val="auto"/>
          <w:szCs w:val="20"/>
        </w:rPr>
        <w:fldChar w:fldCharType="separate"/>
      </w:r>
      <w:r w:rsidR="00B45545" w:rsidRPr="009B48B5">
        <w:rPr>
          <w:rFonts w:ascii="Arial" w:hAnsi="Arial" w:cs="Arial"/>
          <w:noProof/>
          <w:color w:val="auto"/>
          <w:szCs w:val="20"/>
        </w:rPr>
        <w:t>(Pranawa et al., 2019)</w:t>
      </w:r>
      <w:r w:rsidR="00B45545" w:rsidRPr="009B48B5">
        <w:rPr>
          <w:rFonts w:ascii="Arial" w:hAnsi="Arial" w:cs="Arial"/>
          <w:color w:val="auto"/>
          <w:szCs w:val="20"/>
        </w:rPr>
        <w:fldChar w:fldCharType="end"/>
      </w:r>
      <w:r w:rsidR="000F0085" w:rsidRPr="009B48B5">
        <w:rPr>
          <w:rFonts w:ascii="Arial" w:hAnsi="Arial" w:cs="Arial"/>
          <w:color w:val="auto"/>
          <w:szCs w:val="20"/>
        </w:rPr>
        <w:t>.</w:t>
      </w:r>
      <w:r w:rsidRPr="009B48B5">
        <w:rPr>
          <w:szCs w:val="20"/>
        </w:rPr>
        <w:t xml:space="preserve"> </w:t>
      </w:r>
      <w:r w:rsidRPr="009B48B5">
        <w:rPr>
          <w:rFonts w:ascii="Arial" w:hAnsi="Arial" w:cs="Arial"/>
          <w:color w:val="auto"/>
          <w:szCs w:val="20"/>
        </w:rPr>
        <w:t xml:space="preserve">Existing rehabilitation services often fail to meet expectations, particularly in reaching vulnerable and </w:t>
      </w:r>
      <w:proofErr w:type="spellStart"/>
      <w:r w:rsidRPr="009B48B5">
        <w:rPr>
          <w:rFonts w:ascii="Arial" w:hAnsi="Arial" w:cs="Arial"/>
          <w:color w:val="auto"/>
          <w:szCs w:val="20"/>
        </w:rPr>
        <w:t>marginalised</w:t>
      </w:r>
      <w:proofErr w:type="spellEnd"/>
      <w:r w:rsidRPr="009B48B5">
        <w:rPr>
          <w:rFonts w:ascii="Arial" w:hAnsi="Arial" w:cs="Arial"/>
          <w:color w:val="auto"/>
          <w:szCs w:val="20"/>
        </w:rPr>
        <w:t xml:space="preserve"> populations residing in remote or isolated areas. As a consequence, relapse rates remain high, largely due to insufficient long-term support and inadequate post-rehabilitation monitoring structures </w:t>
      </w:r>
      <w:r w:rsidR="000F0085" w:rsidRPr="009B48B5">
        <w:rPr>
          <w:rFonts w:ascii="Arial" w:hAnsi="Arial" w:cs="Arial"/>
          <w:color w:val="auto"/>
          <w:szCs w:val="20"/>
        </w:rPr>
        <w:t xml:space="preserve"> </w:t>
      </w:r>
      <w:r w:rsidR="00B45545" w:rsidRPr="009B48B5">
        <w:rPr>
          <w:rFonts w:ascii="Arial" w:hAnsi="Arial" w:cs="Arial"/>
          <w:color w:val="auto"/>
          <w:szCs w:val="20"/>
        </w:rPr>
        <w:fldChar w:fldCharType="begin" w:fldLock="1"/>
      </w:r>
      <w:r w:rsidR="00B45545" w:rsidRPr="009B48B5">
        <w:rPr>
          <w:rFonts w:ascii="Arial" w:hAnsi="Arial" w:cs="Arial"/>
          <w:color w:val="auto"/>
          <w:szCs w:val="20"/>
        </w:rPr>
        <w:instrText>ADDIN CSL_CITATION {"citationItems":[{"id":"ITEM-1","itemData":{"author":[{"dropping-particle":"","family":"Hidayah","given":"Nur Putri","non-dropping-particle":"","parse-names":false,"suffix":""},{"dropping-particle":"","family":"Alfawwaz","given":"Nauval","non-dropping-particle":"","parse-names":false,"suffix":""},{"dropping-particle":"","family":"Anggraini","given":"Putri Cahyaning","non-dropping-particle":"","parse-names":false,"suffix":""}],"id":"ITEM-1","issued":{"date-parts":[["2024"]]},"page":"127-138","title":"Optimalisasi Media Digital sebagai Upaya Hukum Preventif terhadap Penyalahgunaan Narkotika di Jakarta Selatan","type":"article-journal","volume":"4"},"uris":["http://www.mendeley.com/documents/?uuid=f31659ca-e2df-4ca4-991c-5b167f17e9fd"]}],"mendeley":{"formattedCitation":"(Hidayah et al., 2024)","plainTextFormattedCitation":"(Hidayah et al., 2024)","previouslyFormattedCitation":"(Hidayah et al., 2024)"},"properties":{"noteIndex":0},"schema":"https://github.com/citation-style-language/schema/raw/master/csl-citation.json"}</w:instrText>
      </w:r>
      <w:r w:rsidR="00B45545" w:rsidRPr="009B48B5">
        <w:rPr>
          <w:rFonts w:ascii="Arial" w:hAnsi="Arial" w:cs="Arial"/>
          <w:color w:val="auto"/>
          <w:szCs w:val="20"/>
        </w:rPr>
        <w:fldChar w:fldCharType="separate"/>
      </w:r>
      <w:r w:rsidR="00B45545" w:rsidRPr="009B48B5">
        <w:rPr>
          <w:rFonts w:ascii="Arial" w:hAnsi="Arial" w:cs="Arial"/>
          <w:noProof/>
          <w:color w:val="auto"/>
          <w:szCs w:val="20"/>
        </w:rPr>
        <w:t>(Hidayah et al., 2024)</w:t>
      </w:r>
      <w:r w:rsidR="00B45545" w:rsidRPr="009B48B5">
        <w:rPr>
          <w:rFonts w:ascii="Arial" w:hAnsi="Arial" w:cs="Arial"/>
          <w:color w:val="auto"/>
          <w:szCs w:val="20"/>
        </w:rPr>
        <w:fldChar w:fldCharType="end"/>
      </w:r>
      <w:r w:rsidR="000F0085" w:rsidRPr="009B48B5">
        <w:rPr>
          <w:rFonts w:ascii="Arial" w:hAnsi="Arial" w:cs="Arial"/>
          <w:color w:val="auto"/>
          <w:szCs w:val="20"/>
        </w:rPr>
        <w:t>.</w:t>
      </w:r>
    </w:p>
    <w:p w14:paraId="04214654" w14:textId="1FCED9E6" w:rsidR="000F0085" w:rsidRPr="009B48B5" w:rsidRDefault="005520C5" w:rsidP="009B48B5">
      <w:pPr>
        <w:pStyle w:val="JW37itemize"/>
        <w:numPr>
          <w:ilvl w:val="0"/>
          <w:numId w:val="0"/>
        </w:numPr>
        <w:spacing w:line="480" w:lineRule="auto"/>
        <w:ind w:firstLine="709"/>
        <w:rPr>
          <w:rFonts w:ascii="Arial" w:hAnsi="Arial" w:cs="Arial"/>
          <w:color w:val="auto"/>
          <w:szCs w:val="20"/>
        </w:rPr>
      </w:pPr>
      <w:r w:rsidRPr="009B48B5">
        <w:rPr>
          <w:rFonts w:ascii="Arial" w:hAnsi="Arial" w:cs="Arial"/>
          <w:color w:val="auto"/>
          <w:szCs w:val="20"/>
        </w:rPr>
        <w:t xml:space="preserve">Moreover, community involvement in collaboration with government-led initiatives remains minimal. There is a conspicuous absence of grassroots </w:t>
      </w:r>
      <w:proofErr w:type="spellStart"/>
      <w:r w:rsidRPr="009B48B5">
        <w:rPr>
          <w:rFonts w:ascii="Arial" w:hAnsi="Arial" w:cs="Arial"/>
          <w:color w:val="auto"/>
          <w:szCs w:val="20"/>
        </w:rPr>
        <w:t>programmes</w:t>
      </w:r>
      <w:proofErr w:type="spellEnd"/>
      <w:r w:rsidRPr="009B48B5">
        <w:rPr>
          <w:rFonts w:ascii="Arial" w:hAnsi="Arial" w:cs="Arial"/>
          <w:color w:val="auto"/>
          <w:szCs w:val="20"/>
        </w:rPr>
        <w:t xml:space="preserve"> at the village and subdistrict levels aimed at fostering preventive education and awareness-raising activities, reflecting a low level of collective consciousness regarding the severity of drug-related issues </w:t>
      </w:r>
      <w:r w:rsidR="00B45545" w:rsidRPr="009B48B5">
        <w:rPr>
          <w:rFonts w:ascii="Arial" w:hAnsi="Arial" w:cs="Arial"/>
          <w:color w:val="auto"/>
          <w:szCs w:val="20"/>
        </w:rPr>
        <w:fldChar w:fldCharType="begin" w:fldLock="1"/>
      </w:r>
      <w:r w:rsidR="00B45545" w:rsidRPr="009B48B5">
        <w:rPr>
          <w:rFonts w:ascii="Arial" w:hAnsi="Arial" w:cs="Arial"/>
          <w:color w:val="auto"/>
          <w:szCs w:val="20"/>
        </w:rPr>
        <w:instrText>ADDIN CSL_CITATION {"citationItems":[{"id":"ITEM-1","itemData":{"DOI":"10.31599/krtha.v17i1.2010","ISSN":"1978-8991","abstract":"Penelitian ini bertujuan untuk mengetahui sanksi pidana terhadap pelaku tindak pidana narkotika, strategi yang dapat dilakukan oleh kepolisian guna mengurangi pengedaran narkoba serta hambatan aparat penegak hukum dalam memberantas kasus narkotika. Metode analisis data yang digunakan dalam penelitian ini adalah deskriptif analitis dengan pendekatan yuridis normatif. Hasil penelitian menyatakan bahwa Sanksi pidana diatur dalam Undang-Undang No 35 Tahun 2009 Tentang Narkotika, mengenai ketentuan pidananya diatur dalam Pasal 111 sampai Pasal 147, sedangkan strategi yang dilakukan oleh kepolisian dalam memberantas penyebaran narkotika yaitu dengan upaya pre-emtif, preventif dan represif. Upaya pre-emtif dilakukan dengan cara pembinaan bagi masyarakat melalui sosialisasi tentang dampak narkotika, preventif dilakukan dengan meningkatkan pengawasan terhadap aksi pengedaran narkotika dan upaya represif juga dilakukan sebagai penindakan terhadap aksi tindak kejahatan narkoba. Hambatan aparat penegak hukum dalam mengungkapkan kasus narkotika terbagi menjadi dua, yaitu hambatan internal dan hambatan eksternal.","author":[{"dropping-particle":"","family":"Kristiono","given":"Hellyn","non-dropping-particle":"","parse-names":false,"suffix":""},{"dropping-particle":"","family":"Fatmawati","given":"Nynda","non-dropping-particle":"","parse-names":false,"suffix":""}],"container-title":"Krtha Bhayangkara","id":"ITEM-1","issue":"1","issued":{"date-parts":[["2023"]]},"page":"41-50","title":"Pemidanaan dan Strategi Kepolisian dalam Mencegah Penyebaran Narkotika","type":"article-journal","volume":"17"},"uris":["http://www.mendeley.com/documents/?uuid=784a533d-f7bb-4330-80a6-e0e62ad51300"]}],"mendeley":{"formattedCitation":"(Kristiono &amp; Fatmawati, 2023)","plainTextFormattedCitation":"(Kristiono &amp; Fatmawati, 2023)","previouslyFormattedCitation":"(Kristiono &amp; Fatmawati, 2023)"},"properties":{"noteIndex":0},"schema":"https://github.com/citation-style-language/schema/raw/master/csl-citation.json"}</w:instrText>
      </w:r>
      <w:r w:rsidR="00B45545" w:rsidRPr="009B48B5">
        <w:rPr>
          <w:rFonts w:ascii="Arial" w:hAnsi="Arial" w:cs="Arial"/>
          <w:color w:val="auto"/>
          <w:szCs w:val="20"/>
        </w:rPr>
        <w:fldChar w:fldCharType="separate"/>
      </w:r>
      <w:r w:rsidR="00B45545" w:rsidRPr="009B48B5">
        <w:rPr>
          <w:rFonts w:ascii="Arial" w:hAnsi="Arial" w:cs="Arial"/>
          <w:noProof/>
          <w:color w:val="auto"/>
          <w:szCs w:val="20"/>
        </w:rPr>
        <w:t>(Kristiono &amp; Fatmawati, 2023)</w:t>
      </w:r>
      <w:r w:rsidR="00B45545" w:rsidRPr="009B48B5">
        <w:rPr>
          <w:rFonts w:ascii="Arial" w:hAnsi="Arial" w:cs="Arial"/>
          <w:color w:val="auto"/>
          <w:szCs w:val="20"/>
        </w:rPr>
        <w:fldChar w:fldCharType="end"/>
      </w:r>
      <w:r w:rsidR="000F0085" w:rsidRPr="009B48B5">
        <w:rPr>
          <w:rFonts w:ascii="Arial" w:hAnsi="Arial" w:cs="Arial"/>
          <w:color w:val="auto"/>
          <w:szCs w:val="20"/>
        </w:rPr>
        <w:t xml:space="preserve">. </w:t>
      </w:r>
      <w:r w:rsidRPr="009B48B5">
        <w:rPr>
          <w:rFonts w:ascii="Arial" w:hAnsi="Arial" w:cs="Arial"/>
          <w:color w:val="auto"/>
          <w:szCs w:val="20"/>
        </w:rPr>
        <w:t xml:space="preserve">A significant proportion of the population continues to perceive narcotics control as the exclusive responsibility of the government, disregarding the critical role of public participation in ensuring the success of preventive efforts </w:t>
      </w:r>
      <w:r w:rsidR="00B45545" w:rsidRPr="009B48B5">
        <w:rPr>
          <w:rFonts w:ascii="Arial" w:hAnsi="Arial" w:cs="Arial"/>
          <w:color w:val="auto"/>
          <w:szCs w:val="20"/>
        </w:rPr>
        <w:fldChar w:fldCharType="begin" w:fldLock="1"/>
      </w:r>
      <w:r w:rsidR="00B45545" w:rsidRPr="009B48B5">
        <w:rPr>
          <w:rFonts w:ascii="Arial" w:hAnsi="Arial" w:cs="Arial"/>
          <w:color w:val="auto"/>
          <w:szCs w:val="20"/>
        </w:rPr>
        <w:instrText>ADDIN CSL_CITATION {"citationItems":[{"id":"ITEM-1","itemData":{"abstract":"Penelitian ini bertujuan untuk mengetahui bentuk perlindungan hukum yang diberikan terhadap korban tindak pidana penyalahgunaan narkotika di Kabupaten Buleleng dan hambatan-hambatan yang dihadapi dalam memberikan perlindungan hukum terhadap korban tindak pidana penyalahgunaan narkotika di Kabupaten Buleleng. Jenis pAenelitian yang digunakan adalah jenis penelitian hukum empiris, dengan sifat penelitian deskriptif. Lokasi penelitian ini dilaksanakan di Kabupaten Buleleng, teknik pengumpulan data yang dugunakan adalah dengan cara studi dokumen, observasi, dokumentasi dan wawancara. Teknik penentuan sampel yang dugunakan adalah teknik non probability sampling dan penentuan subyeknya menggunakan teknik purposive sampling. Teknik pengolahan dan analisis data adalah secara kualitatif. Hasil penelitian menunjukan bahwa bentuk perlindungan hukum yang diberikan terhadap korban tindak pidana penyalahgunaan narkotika yaitu bentuk perlindungan hukum preventif dengan tujuan untuk mencegah terjadinya lebih lanjut penyalahgunaan narkotika yang menimbulkan banyak korban di Kabupaten Buleleng, dari perlindungan hukum preventif yang diberikan yaitu berupa rehabilitasi guna memberikan pengobatan agar korban terlepas dari tindakan menggunakan atau menyalahgunakan narkotika. Hambatan-hambatan yang dihadapi dalam memberikan perlindungan hukum terhadap korban tindak pidana penyalahgunaan narkotika yaitu kurangnya sarana dan prasraana untuk rehabilitasi, tidak tersedianya fasilitas untuk rehabilitasi seperti rumah sakit di Kabupaten Buleleng, terbatasnya tenaga kesehatan khusus untuk menangani rehabilitasi korban tindak pidana penyalahgunaan narkotika. Kata","author":[{"dropping-particle":"","family":"Gusti Ayu Novira Santi, Ni Putu Rai Yuliartini","given":"Dewa Gede Sudika Mangku","non-dropping-particle":"","parse-names":false,"suffix":""}],"container-title":"Komunitas Yustisia Universitas Pendidikan Ganesha Jurusan Ilmu Hukum","id":"ITEM-1","issue":"3","issued":{"date-parts":[["2019"]]},"page":"216-226","title":"Perlindungan Hukum Terhadap Korban Tindak Pidana Penyalahgunaan Narkotika Di Kabupaten Buleleng","type":"article-journal","volume":"2"},"uris":["http://www.mendeley.com/documents/?uuid=47f12ed4-1d09-4784-9975-0e48618e9ce5"]}],"mendeley":{"formattedCitation":"(Gusti Ayu Novira Santi, Ni Putu Rai Yuliartini, 2019)","manualFormatting":"(Gusti et.al, 2019)","plainTextFormattedCitation":"(Gusti Ayu Novira Santi, Ni Putu Rai Yuliartini, 2019)","previouslyFormattedCitation":"(Gusti Ayu Novira Santi, Ni Putu Rai Yuliartini, 2019)"},"properties":{"noteIndex":0},"schema":"https://github.com/citation-style-language/schema/raw/master/csl-citation.json"}</w:instrText>
      </w:r>
      <w:r w:rsidR="00B45545" w:rsidRPr="009B48B5">
        <w:rPr>
          <w:rFonts w:ascii="Arial" w:hAnsi="Arial" w:cs="Arial"/>
          <w:color w:val="auto"/>
          <w:szCs w:val="20"/>
        </w:rPr>
        <w:fldChar w:fldCharType="separate"/>
      </w:r>
      <w:r w:rsidR="00B45545" w:rsidRPr="009B48B5">
        <w:rPr>
          <w:rFonts w:ascii="Arial" w:hAnsi="Arial" w:cs="Arial"/>
          <w:noProof/>
          <w:color w:val="auto"/>
          <w:szCs w:val="20"/>
        </w:rPr>
        <w:t>(Gusti et.al, 2019)</w:t>
      </w:r>
      <w:r w:rsidR="00B45545" w:rsidRPr="009B48B5">
        <w:rPr>
          <w:rFonts w:ascii="Arial" w:hAnsi="Arial" w:cs="Arial"/>
          <w:color w:val="auto"/>
          <w:szCs w:val="20"/>
        </w:rPr>
        <w:fldChar w:fldCharType="end"/>
      </w:r>
      <w:r w:rsidR="000F0085" w:rsidRPr="009B48B5">
        <w:rPr>
          <w:rFonts w:ascii="Arial" w:hAnsi="Arial" w:cs="Arial"/>
          <w:color w:val="auto"/>
          <w:szCs w:val="20"/>
        </w:rPr>
        <w:t xml:space="preserve">. </w:t>
      </w:r>
      <w:r w:rsidRPr="009B48B5">
        <w:rPr>
          <w:rFonts w:ascii="Arial" w:hAnsi="Arial" w:cs="Arial"/>
          <w:color w:val="auto"/>
          <w:szCs w:val="20"/>
        </w:rPr>
        <w:t xml:space="preserve">Accordingly, there is an urgent need to develop community-based outreach strategies, establish anti-drug advocacy groups, and empower residents through positive, sustainable initiatives that cultivate a shared sense of responsibility </w:t>
      </w:r>
      <w:r w:rsidR="00B45545" w:rsidRPr="009B48B5">
        <w:rPr>
          <w:rFonts w:ascii="Arial" w:hAnsi="Arial" w:cs="Arial"/>
          <w:color w:val="auto"/>
          <w:szCs w:val="20"/>
        </w:rPr>
        <w:fldChar w:fldCharType="begin" w:fldLock="1"/>
      </w:r>
      <w:r w:rsidR="00B45545" w:rsidRPr="009B48B5">
        <w:rPr>
          <w:rFonts w:ascii="Arial" w:hAnsi="Arial" w:cs="Arial"/>
          <w:color w:val="auto"/>
          <w:szCs w:val="20"/>
        </w:rPr>
        <w:instrText>ADDIN CSL_CITATION {"citationItems":[{"id":"ITEM-1","itemData":{"DOI":"10.29303/jwd.v3i2.129","ISSN":"2776-2572","abstract":"This article is sourced from the results of community service in Central Lombok Regency in an effort to socialize the impact of drug trafficking, the causes of drug trafficking and efforts to prevent drug distribution in the community. The abuse of narcotics and dangerous drugs is a global phenomenon that is very frightening and dangerous for the nation and state. The bad effects of drug use have touched almost all levels of society at all levels, not only the general public, through the world of education from elementary school to college. Various effects of narcotics use include disrupting brain nerve cells, causing dehydration, hallucinations, chest pain, aggressive behavior, memory loss, causing seizures and death. Various factors cause the increase in the use of narcotics in society, such as personal factors in users due to a lack of understanding of religious teachings, family environmental factors such as broken communication between parents and children, social factors in society, especially with addicted friends. for drugs; factors of weak institutional roles, lack of guidance and outreach from the government and community leaders about the dangers of drug use, and weak law enforcement. Various efforts can be made to prevent the entry and circulation of narcotics and illicit drugs in West Nusa Tenggara, both through preventive efforts such as socialization, guidance and supervision, as well as the imposition of repressive measures, such as the application of criminal sanctions for drug dealers.","author":[{"dropping-particle":"","family":"Sood","given":"Muhammad","non-dropping-particle":"","parse-names":false,"suffix":""},{"dropping-particle":"","family":"Puttrawandi","given":"Lalu","non-dropping-particle":"","parse-names":false,"suffix":""},{"dropping-particle":"","family":"Rizki","given":"Khairur","non-dropping-particle":"","parse-names":false,"suffix":""}],"container-title":"Jurnal Warta Desa (JWD)","id":"ITEM-1","issue":"2","issued":{"date-parts":[["2021"]]},"page":"91-96","title":"Upaya Pencegahan Peredaran Narkoba Dalam Rangka Melindungi Masyarakat Di Kabupaten Lombok Tengah Nusa Tenggara Barat","type":"article-journal","volume":"3"},"uris":["http://www.mendeley.com/documents/?uuid=2e3a3e8e-752e-4aae-81c9-a6998de59eb3"]}],"mendeley":{"formattedCitation":"(Sood et al., 2021)","plainTextFormattedCitation":"(Sood et al., 2021)","previouslyFormattedCitation":"(Sood et al., 2021)"},"properties":{"noteIndex":0},"schema":"https://github.com/citation-style-language/schema/raw/master/csl-citation.json"}</w:instrText>
      </w:r>
      <w:r w:rsidR="00B45545" w:rsidRPr="009B48B5">
        <w:rPr>
          <w:rFonts w:ascii="Arial" w:hAnsi="Arial" w:cs="Arial"/>
          <w:color w:val="auto"/>
          <w:szCs w:val="20"/>
        </w:rPr>
        <w:fldChar w:fldCharType="separate"/>
      </w:r>
      <w:r w:rsidR="00B45545" w:rsidRPr="009B48B5">
        <w:rPr>
          <w:rFonts w:ascii="Arial" w:hAnsi="Arial" w:cs="Arial"/>
          <w:noProof/>
          <w:color w:val="auto"/>
          <w:szCs w:val="20"/>
        </w:rPr>
        <w:t>(Sood et al., 2021)</w:t>
      </w:r>
      <w:r w:rsidR="00B45545" w:rsidRPr="009B48B5">
        <w:rPr>
          <w:rFonts w:ascii="Arial" w:hAnsi="Arial" w:cs="Arial"/>
          <w:color w:val="auto"/>
          <w:szCs w:val="20"/>
        </w:rPr>
        <w:fldChar w:fldCharType="end"/>
      </w:r>
      <w:r w:rsidR="000F0085" w:rsidRPr="009B48B5">
        <w:rPr>
          <w:rFonts w:ascii="Arial" w:hAnsi="Arial" w:cs="Arial"/>
          <w:color w:val="auto"/>
          <w:szCs w:val="20"/>
        </w:rPr>
        <w:t>.</w:t>
      </w:r>
    </w:p>
    <w:p w14:paraId="3255156E" w14:textId="28BC2684" w:rsidR="000A3547" w:rsidRPr="009B48B5" w:rsidRDefault="00700A71" w:rsidP="009B48B5">
      <w:pPr>
        <w:pStyle w:val="JW37itemize"/>
        <w:numPr>
          <w:ilvl w:val="0"/>
          <w:numId w:val="0"/>
        </w:numPr>
        <w:spacing w:line="480" w:lineRule="auto"/>
        <w:ind w:firstLine="709"/>
        <w:rPr>
          <w:rFonts w:ascii="Arial" w:hAnsi="Arial" w:cs="Arial"/>
          <w:color w:val="auto"/>
          <w:szCs w:val="20"/>
        </w:rPr>
      </w:pPr>
      <w:r w:rsidRPr="009B48B5">
        <w:rPr>
          <w:rFonts w:ascii="Arial" w:hAnsi="Arial" w:cs="Arial"/>
          <w:color w:val="auto"/>
          <w:szCs w:val="20"/>
        </w:rPr>
        <w:t xml:space="preserve">The escalation of drug abuse is also observable in Bima City, particularly within the </w:t>
      </w:r>
      <w:proofErr w:type="spellStart"/>
      <w:r w:rsidRPr="009B48B5">
        <w:rPr>
          <w:rFonts w:ascii="Arial" w:hAnsi="Arial" w:cs="Arial"/>
          <w:color w:val="auto"/>
          <w:szCs w:val="20"/>
        </w:rPr>
        <w:t>Sambinae</w:t>
      </w:r>
      <w:proofErr w:type="spellEnd"/>
      <w:r w:rsidRPr="009B48B5">
        <w:rPr>
          <w:rFonts w:ascii="Arial" w:hAnsi="Arial" w:cs="Arial"/>
          <w:color w:val="auto"/>
          <w:szCs w:val="20"/>
        </w:rPr>
        <w:t xml:space="preserve"> Subdistrict. Data from the Research and Data Center of the National Narcotics Agency (</w:t>
      </w:r>
      <w:proofErr w:type="spellStart"/>
      <w:r w:rsidRPr="009B48B5">
        <w:rPr>
          <w:rFonts w:ascii="Arial" w:hAnsi="Arial" w:cs="Arial"/>
          <w:color w:val="auto"/>
          <w:szCs w:val="20"/>
        </w:rPr>
        <w:t>Puslidatin</w:t>
      </w:r>
      <w:proofErr w:type="spellEnd"/>
      <w:r w:rsidRPr="009B48B5">
        <w:rPr>
          <w:rFonts w:ascii="Arial" w:hAnsi="Arial" w:cs="Arial"/>
          <w:color w:val="auto"/>
          <w:szCs w:val="20"/>
        </w:rPr>
        <w:t xml:space="preserve"> BNN) demonstrate a marked increase in drug abuse cases over the past two years, notably among individuals aged 15 to 24 and those aged 50 to 64. Although the 25 to 49 age cohort has exhibited a slight decline, continued vigilance is essential given the potential for a resurgence in drug-related incidents within this demographic </w:t>
      </w:r>
      <w:r w:rsidR="000F0085" w:rsidRPr="009B48B5">
        <w:rPr>
          <w:rFonts w:ascii="Arial" w:hAnsi="Arial" w:cs="Arial"/>
          <w:color w:val="auto"/>
          <w:szCs w:val="20"/>
        </w:rPr>
        <w:t>(BNNK Bima).</w:t>
      </w:r>
      <w:r w:rsidRPr="009B48B5">
        <w:rPr>
          <w:szCs w:val="20"/>
        </w:rPr>
        <w:t xml:space="preserve"> </w:t>
      </w:r>
      <w:r w:rsidRPr="009B48B5">
        <w:rPr>
          <w:rFonts w:ascii="Arial" w:hAnsi="Arial" w:cs="Arial"/>
          <w:color w:val="auto"/>
          <w:szCs w:val="20"/>
        </w:rPr>
        <w:t xml:space="preserve">The increasingly dynamic, complex, and age-transcending patterns of narcotics distribution underscore the inadequacy of fragmented, sector-specific interventions. The problem requires a holistic, integrated approach, as evidenced by the accompanying data illustrating recent trends in drug abuse across different age groups in Bima City, specifically within the </w:t>
      </w:r>
      <w:proofErr w:type="spellStart"/>
      <w:r w:rsidRPr="009B48B5">
        <w:rPr>
          <w:rFonts w:ascii="Arial" w:hAnsi="Arial" w:cs="Arial"/>
          <w:color w:val="auto"/>
          <w:szCs w:val="20"/>
        </w:rPr>
        <w:t>Sambinae</w:t>
      </w:r>
      <w:proofErr w:type="spellEnd"/>
      <w:r w:rsidRPr="009B48B5">
        <w:rPr>
          <w:rFonts w:ascii="Arial" w:hAnsi="Arial" w:cs="Arial"/>
          <w:color w:val="auto"/>
          <w:szCs w:val="20"/>
        </w:rPr>
        <w:t xml:space="preserve"> Subdistrict.</w:t>
      </w:r>
    </w:p>
    <w:p w14:paraId="551E5CAF" w14:textId="7A7FF39C" w:rsidR="00700A71" w:rsidRPr="009B48B5" w:rsidRDefault="00700A71" w:rsidP="009B48B5">
      <w:pPr>
        <w:pStyle w:val="JW37itemize"/>
        <w:numPr>
          <w:ilvl w:val="0"/>
          <w:numId w:val="0"/>
        </w:numPr>
        <w:spacing w:line="480" w:lineRule="auto"/>
        <w:ind w:firstLine="709"/>
        <w:rPr>
          <w:rFonts w:ascii="Arial" w:hAnsi="Arial" w:cs="Arial"/>
          <w:color w:val="auto"/>
          <w:szCs w:val="20"/>
        </w:rPr>
      </w:pPr>
      <w:r w:rsidRPr="009B48B5">
        <w:rPr>
          <w:rFonts w:ascii="Arial" w:hAnsi="Arial" w:cs="Arial"/>
          <w:color w:val="auto"/>
          <w:szCs w:val="20"/>
        </w:rPr>
        <w:br w:type="page"/>
      </w:r>
    </w:p>
    <w:p w14:paraId="19B1B045" w14:textId="77777777" w:rsidR="00700A71" w:rsidRPr="009B48B5" w:rsidRDefault="00700A71" w:rsidP="009B48B5">
      <w:pPr>
        <w:pStyle w:val="JW37itemize"/>
        <w:numPr>
          <w:ilvl w:val="0"/>
          <w:numId w:val="0"/>
        </w:numPr>
        <w:spacing w:line="480" w:lineRule="auto"/>
        <w:ind w:firstLine="709"/>
        <w:rPr>
          <w:rFonts w:ascii="Arial" w:hAnsi="Arial" w:cs="Arial"/>
          <w:color w:val="auto"/>
          <w:szCs w:val="20"/>
        </w:rPr>
      </w:pPr>
    </w:p>
    <w:p w14:paraId="5DCF3D45" w14:textId="72131174" w:rsidR="008F21CE" w:rsidRPr="009B48B5" w:rsidRDefault="008F21CE" w:rsidP="009B48B5">
      <w:pPr>
        <w:pStyle w:val="JW37itemize"/>
        <w:numPr>
          <w:ilvl w:val="0"/>
          <w:numId w:val="0"/>
        </w:numPr>
        <w:spacing w:line="480" w:lineRule="auto"/>
        <w:ind w:firstLine="709"/>
        <w:rPr>
          <w:rFonts w:ascii="Arial" w:hAnsi="Arial" w:cs="Arial"/>
          <w:color w:val="auto"/>
          <w:szCs w:val="20"/>
        </w:rPr>
      </w:pPr>
      <w:r w:rsidRPr="009B48B5">
        <w:rPr>
          <w:rFonts w:ascii="Arial" w:hAnsi="Arial" w:cs="Arial"/>
          <w:noProof/>
          <w:color w:val="auto"/>
          <w:szCs w:val="20"/>
          <w:lang w:eastAsia="en-US" w:bidi="ar-SA"/>
        </w:rPr>
        <w:drawing>
          <wp:anchor distT="0" distB="0" distL="114300" distR="114300" simplePos="0" relativeHeight="251658240" behindDoc="0" locked="0" layoutInCell="1" allowOverlap="1" wp14:anchorId="0555E1C0" wp14:editId="4E24231E">
            <wp:simplePos x="0" y="0"/>
            <wp:positionH relativeFrom="margin">
              <wp:posOffset>588010</wp:posOffset>
            </wp:positionH>
            <wp:positionV relativeFrom="paragraph">
              <wp:posOffset>143510</wp:posOffset>
            </wp:positionV>
            <wp:extent cx="5133975" cy="2352675"/>
            <wp:effectExtent l="0" t="0" r="9525" b="9525"/>
            <wp:wrapNone/>
            <wp:docPr id="1389133461"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a:extLst>
                        <a:ext uri="{28A0092B-C50C-407E-A947-70E740481C1C}">
                          <a14:useLocalDpi xmlns:a14="http://schemas.microsoft.com/office/drawing/2010/main" val="0"/>
                        </a:ext>
                      </a:extLst>
                    </a:blip>
                    <a:srcRect t="1993"/>
                    <a:stretch>
                      <a:fillRect/>
                    </a:stretch>
                  </pic:blipFill>
                  <pic:spPr bwMode="auto">
                    <a:xfrm>
                      <a:off x="0" y="0"/>
                      <a:ext cx="5133975" cy="2352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323FC2A" w14:textId="77777777" w:rsidR="008F21CE" w:rsidRPr="009B48B5" w:rsidRDefault="008F21CE" w:rsidP="009B48B5">
      <w:pPr>
        <w:pStyle w:val="JW37itemize"/>
        <w:numPr>
          <w:ilvl w:val="0"/>
          <w:numId w:val="0"/>
        </w:numPr>
        <w:spacing w:line="480" w:lineRule="auto"/>
        <w:ind w:firstLine="709"/>
        <w:rPr>
          <w:rFonts w:ascii="Arial" w:hAnsi="Arial" w:cs="Arial"/>
          <w:color w:val="auto"/>
          <w:szCs w:val="20"/>
        </w:rPr>
      </w:pPr>
    </w:p>
    <w:p w14:paraId="4B503306" w14:textId="77777777" w:rsidR="008F21CE" w:rsidRPr="009B48B5" w:rsidRDefault="008F21CE" w:rsidP="009B48B5">
      <w:pPr>
        <w:pStyle w:val="JW37itemize"/>
        <w:numPr>
          <w:ilvl w:val="0"/>
          <w:numId w:val="0"/>
        </w:numPr>
        <w:spacing w:line="480" w:lineRule="auto"/>
        <w:ind w:firstLine="709"/>
        <w:rPr>
          <w:rFonts w:ascii="Arial" w:hAnsi="Arial" w:cs="Arial"/>
          <w:color w:val="auto"/>
          <w:szCs w:val="20"/>
        </w:rPr>
      </w:pPr>
    </w:p>
    <w:p w14:paraId="52153690" w14:textId="679BE2C9" w:rsidR="008F21CE" w:rsidRPr="009B48B5" w:rsidRDefault="008F21CE" w:rsidP="009B48B5">
      <w:pPr>
        <w:pStyle w:val="JW37itemize"/>
        <w:numPr>
          <w:ilvl w:val="0"/>
          <w:numId w:val="0"/>
        </w:numPr>
        <w:spacing w:line="480" w:lineRule="auto"/>
        <w:ind w:firstLine="709"/>
        <w:rPr>
          <w:rFonts w:ascii="Arial" w:hAnsi="Arial" w:cs="Arial"/>
          <w:color w:val="auto"/>
          <w:szCs w:val="20"/>
        </w:rPr>
      </w:pPr>
    </w:p>
    <w:p w14:paraId="1172DB66" w14:textId="77777777" w:rsidR="008F21CE" w:rsidRPr="009B48B5" w:rsidRDefault="008F21CE" w:rsidP="009B48B5">
      <w:pPr>
        <w:pStyle w:val="JW37itemize"/>
        <w:numPr>
          <w:ilvl w:val="0"/>
          <w:numId w:val="0"/>
        </w:numPr>
        <w:spacing w:line="480" w:lineRule="auto"/>
        <w:ind w:firstLine="709"/>
        <w:rPr>
          <w:rFonts w:ascii="Arial" w:hAnsi="Arial" w:cs="Arial"/>
          <w:color w:val="auto"/>
          <w:szCs w:val="20"/>
        </w:rPr>
      </w:pPr>
    </w:p>
    <w:p w14:paraId="7F76EA3E" w14:textId="77777777" w:rsidR="008F21CE" w:rsidRPr="009B48B5" w:rsidRDefault="008F21CE" w:rsidP="009B48B5">
      <w:pPr>
        <w:pStyle w:val="JW37itemize"/>
        <w:numPr>
          <w:ilvl w:val="0"/>
          <w:numId w:val="0"/>
        </w:numPr>
        <w:spacing w:line="480" w:lineRule="auto"/>
        <w:ind w:firstLine="709"/>
        <w:rPr>
          <w:rFonts w:ascii="Arial" w:hAnsi="Arial" w:cs="Arial"/>
          <w:color w:val="auto"/>
          <w:szCs w:val="20"/>
        </w:rPr>
      </w:pPr>
    </w:p>
    <w:p w14:paraId="34BF5FF1" w14:textId="117935D6" w:rsidR="008F21CE" w:rsidRPr="009B48B5" w:rsidRDefault="008F21CE" w:rsidP="009B48B5">
      <w:pPr>
        <w:pStyle w:val="JW37itemize"/>
        <w:numPr>
          <w:ilvl w:val="0"/>
          <w:numId w:val="0"/>
        </w:numPr>
        <w:spacing w:line="480" w:lineRule="auto"/>
        <w:ind w:firstLine="709"/>
        <w:rPr>
          <w:rFonts w:ascii="Arial" w:hAnsi="Arial" w:cs="Arial"/>
          <w:color w:val="auto"/>
          <w:szCs w:val="20"/>
        </w:rPr>
      </w:pPr>
    </w:p>
    <w:p w14:paraId="52E057ED" w14:textId="77777777" w:rsidR="008F21CE" w:rsidRPr="009B48B5" w:rsidRDefault="008F21CE" w:rsidP="009B48B5">
      <w:pPr>
        <w:pStyle w:val="JW37itemize"/>
        <w:numPr>
          <w:ilvl w:val="0"/>
          <w:numId w:val="0"/>
        </w:numPr>
        <w:spacing w:line="480" w:lineRule="auto"/>
        <w:ind w:firstLine="709"/>
        <w:rPr>
          <w:rFonts w:ascii="Arial" w:hAnsi="Arial" w:cs="Arial"/>
          <w:color w:val="auto"/>
          <w:szCs w:val="20"/>
        </w:rPr>
      </w:pPr>
    </w:p>
    <w:p w14:paraId="1F8B26EF" w14:textId="77777777" w:rsidR="008F21CE" w:rsidRPr="009B48B5" w:rsidRDefault="008F21CE" w:rsidP="009B48B5">
      <w:pPr>
        <w:pStyle w:val="JW37itemize"/>
        <w:numPr>
          <w:ilvl w:val="0"/>
          <w:numId w:val="0"/>
        </w:numPr>
        <w:spacing w:line="480" w:lineRule="auto"/>
        <w:rPr>
          <w:rFonts w:ascii="Arial" w:hAnsi="Arial" w:cs="Arial"/>
          <w:color w:val="auto"/>
          <w:szCs w:val="20"/>
        </w:rPr>
      </w:pPr>
    </w:p>
    <w:p w14:paraId="0976BBF3" w14:textId="07BEB37B" w:rsidR="008F21CE" w:rsidRPr="009B48B5" w:rsidRDefault="008F21CE" w:rsidP="009B48B5">
      <w:pPr>
        <w:pStyle w:val="JW37itemize"/>
        <w:numPr>
          <w:ilvl w:val="0"/>
          <w:numId w:val="0"/>
        </w:numPr>
        <w:spacing w:line="480" w:lineRule="auto"/>
        <w:ind w:firstLine="709"/>
        <w:rPr>
          <w:rFonts w:ascii="Arial" w:hAnsi="Arial" w:cs="Arial"/>
          <w:color w:val="auto"/>
          <w:szCs w:val="20"/>
        </w:rPr>
      </w:pPr>
      <w:r w:rsidRPr="009B48B5">
        <w:rPr>
          <w:rFonts w:ascii="Arial" w:hAnsi="Arial" w:cs="Arial"/>
          <w:color w:val="auto"/>
          <w:szCs w:val="20"/>
        </w:rPr>
        <w:tab/>
        <w:t>Data Source: BNNK Bima, 2023-2024.</w:t>
      </w:r>
    </w:p>
    <w:p w14:paraId="03B9D0CA" w14:textId="77777777" w:rsidR="00700A71" w:rsidRPr="009B48B5" w:rsidRDefault="00700A71" w:rsidP="009B48B5">
      <w:pPr>
        <w:pStyle w:val="JW37itemize"/>
        <w:numPr>
          <w:ilvl w:val="0"/>
          <w:numId w:val="0"/>
        </w:numPr>
        <w:spacing w:line="480" w:lineRule="auto"/>
        <w:ind w:firstLine="709"/>
        <w:rPr>
          <w:rFonts w:ascii="Arial" w:hAnsi="Arial" w:cs="Arial"/>
          <w:color w:val="auto"/>
          <w:szCs w:val="20"/>
        </w:rPr>
      </w:pPr>
      <w:r w:rsidRPr="009B48B5">
        <w:rPr>
          <w:rFonts w:ascii="Arial" w:hAnsi="Arial" w:cs="Arial"/>
          <w:color w:val="auto"/>
          <w:szCs w:val="20"/>
        </w:rPr>
        <w:t xml:space="preserve">A critical structural barrier hindering drug prevention efforts in </w:t>
      </w:r>
      <w:proofErr w:type="spellStart"/>
      <w:r w:rsidRPr="009B48B5">
        <w:rPr>
          <w:rFonts w:ascii="Arial" w:hAnsi="Arial" w:cs="Arial"/>
          <w:color w:val="auto"/>
          <w:szCs w:val="20"/>
        </w:rPr>
        <w:t>Sambinae</w:t>
      </w:r>
      <w:proofErr w:type="spellEnd"/>
      <w:r w:rsidRPr="009B48B5">
        <w:rPr>
          <w:rFonts w:ascii="Arial" w:hAnsi="Arial" w:cs="Arial"/>
          <w:color w:val="auto"/>
          <w:szCs w:val="20"/>
        </w:rPr>
        <w:t xml:space="preserve"> Subdistrict is the absence of a Compulsory Reporting Institution (</w:t>
      </w:r>
      <w:r w:rsidRPr="009B48B5">
        <w:rPr>
          <w:rFonts w:ascii="Arial" w:hAnsi="Arial" w:cs="Arial"/>
          <w:i/>
          <w:color w:val="auto"/>
          <w:szCs w:val="20"/>
        </w:rPr>
        <w:t>Institusi Penerima Wajib Lapor or IPWL</w:t>
      </w:r>
      <w:r w:rsidRPr="009B48B5">
        <w:rPr>
          <w:rFonts w:ascii="Arial" w:hAnsi="Arial" w:cs="Arial"/>
          <w:color w:val="auto"/>
          <w:szCs w:val="20"/>
        </w:rPr>
        <w:t xml:space="preserve">), which is mandated to oversee the management, monitoring, and rehabilitation of drug abuse victims. The lack of such an institution has led to slow, fragmented, and poorly coordinated responses to new drug-related cases </w:t>
      </w:r>
      <w:r w:rsidR="00B45545" w:rsidRPr="009B48B5">
        <w:rPr>
          <w:rFonts w:ascii="Arial" w:hAnsi="Arial" w:cs="Arial"/>
          <w:color w:val="auto"/>
          <w:szCs w:val="20"/>
        </w:rPr>
        <w:fldChar w:fldCharType="begin" w:fldLock="1"/>
      </w:r>
      <w:r w:rsidR="00B45545" w:rsidRPr="009B48B5">
        <w:rPr>
          <w:rFonts w:ascii="Arial" w:hAnsi="Arial" w:cs="Arial"/>
          <w:color w:val="auto"/>
          <w:szCs w:val="20"/>
        </w:rPr>
        <w:instrText>ADDIN CSL_CITATION {"citationItems":[{"id":"ITEM-1","itemData":{"author":[{"dropping-particle":"","family":"Prasetyo","given":"Anton","non-dropping-particle":"","parse-names":false,"suffix":""}],"container-title":"Unair.Ac.Id","id":"ITEM-1","issue":"4","issued":{"date-parts":[["2019"]]},"page":"1-15","title":"Jaringan Peredaran Narkoba","type":"article-journal"},"uris":["http://www.mendeley.com/documents/?uuid=5777dd29-23a4-4162-a2bc-3762cb0348dc"]}],"mendeley":{"formattedCitation":"(Prasetyo, 2019)","plainTextFormattedCitation":"(Prasetyo, 2019)","previouslyFormattedCitation":"(Prasetyo, 2019)"},"properties":{"noteIndex":0},"schema":"https://github.com/citation-style-language/schema/raw/master/csl-citation.json"}</w:instrText>
      </w:r>
      <w:r w:rsidR="00B45545" w:rsidRPr="009B48B5">
        <w:rPr>
          <w:rFonts w:ascii="Arial" w:hAnsi="Arial" w:cs="Arial"/>
          <w:color w:val="auto"/>
          <w:szCs w:val="20"/>
        </w:rPr>
        <w:fldChar w:fldCharType="separate"/>
      </w:r>
      <w:r w:rsidR="00B45545" w:rsidRPr="009B48B5">
        <w:rPr>
          <w:rFonts w:ascii="Arial" w:hAnsi="Arial" w:cs="Arial"/>
          <w:noProof/>
          <w:color w:val="auto"/>
          <w:szCs w:val="20"/>
        </w:rPr>
        <w:t>(Prasetyo, 2019)</w:t>
      </w:r>
      <w:r w:rsidR="00B45545" w:rsidRPr="009B48B5">
        <w:rPr>
          <w:rFonts w:ascii="Arial" w:hAnsi="Arial" w:cs="Arial"/>
          <w:color w:val="auto"/>
          <w:szCs w:val="20"/>
        </w:rPr>
        <w:fldChar w:fldCharType="end"/>
      </w:r>
      <w:r w:rsidR="000F0085" w:rsidRPr="009B48B5">
        <w:rPr>
          <w:rFonts w:ascii="Arial" w:hAnsi="Arial" w:cs="Arial"/>
          <w:color w:val="auto"/>
          <w:szCs w:val="20"/>
        </w:rPr>
        <w:t xml:space="preserve">. </w:t>
      </w:r>
      <w:r w:rsidRPr="009B48B5">
        <w:rPr>
          <w:rFonts w:ascii="Arial" w:hAnsi="Arial" w:cs="Arial"/>
          <w:color w:val="auto"/>
          <w:szCs w:val="20"/>
        </w:rPr>
        <w:t xml:space="preserve">Existing rehabilitation services remain insufficient, with limited reach, particularly among marginalized and vulnerable communities. Consequently, many victims are left without access to necessary support structures, exacerbating relapse rates and undermining recovery efforts. </w:t>
      </w:r>
    </w:p>
    <w:p w14:paraId="3803F47E" w14:textId="77777777" w:rsidR="00700A71" w:rsidRPr="009B48B5" w:rsidRDefault="00700A71" w:rsidP="009B48B5">
      <w:pPr>
        <w:pStyle w:val="JW37itemize"/>
        <w:numPr>
          <w:ilvl w:val="0"/>
          <w:numId w:val="0"/>
        </w:numPr>
        <w:spacing w:line="480" w:lineRule="auto"/>
        <w:ind w:firstLine="709"/>
        <w:rPr>
          <w:rFonts w:ascii="Arial" w:hAnsi="Arial" w:cs="Arial"/>
          <w:color w:val="auto"/>
          <w:szCs w:val="20"/>
        </w:rPr>
      </w:pPr>
      <w:r w:rsidRPr="009B48B5">
        <w:rPr>
          <w:rFonts w:ascii="Arial" w:hAnsi="Arial" w:cs="Arial"/>
          <w:color w:val="auto"/>
          <w:szCs w:val="20"/>
        </w:rPr>
        <w:t>Compounding the problem, interagency egoism within Bima City continues to obstruct the establishment of effective, cross-sectoral collaboration frameworks. Institutional silos and competing interests between government agencies hinder information sharing, joint operations, and the development of unified action plans, thus weakening the overall impact of prevention and enforcement initiatives.</w:t>
      </w:r>
    </w:p>
    <w:p w14:paraId="77343C14" w14:textId="77777777" w:rsidR="00700A71" w:rsidRPr="009B48B5" w:rsidRDefault="00700A71" w:rsidP="009B48B5">
      <w:pPr>
        <w:pStyle w:val="JW37itemize"/>
        <w:numPr>
          <w:ilvl w:val="0"/>
          <w:numId w:val="0"/>
        </w:numPr>
        <w:spacing w:line="480" w:lineRule="auto"/>
        <w:ind w:firstLine="709"/>
        <w:rPr>
          <w:rFonts w:ascii="Arial" w:hAnsi="Arial" w:cs="Arial"/>
          <w:color w:val="auto"/>
          <w:szCs w:val="20"/>
        </w:rPr>
      </w:pPr>
      <w:r w:rsidRPr="009B48B5">
        <w:rPr>
          <w:rFonts w:ascii="Arial" w:hAnsi="Arial" w:cs="Arial"/>
          <w:color w:val="auto"/>
          <w:szCs w:val="20"/>
        </w:rPr>
        <w:t xml:space="preserve">Moreover, drug trafficking methods in the region have evolved significantly, with perpetrators adopting increasingly varied, covert, and technologically sophisticated tactics to conceal their operations. These developments necessitate enhanced intelligence capabilities, advanced investigative tools, and improved resource </w:t>
      </w:r>
      <w:proofErr w:type="spellStart"/>
      <w:r w:rsidRPr="009B48B5">
        <w:rPr>
          <w:rFonts w:ascii="Arial" w:hAnsi="Arial" w:cs="Arial"/>
          <w:color w:val="auto"/>
          <w:szCs w:val="20"/>
        </w:rPr>
        <w:t>mobilisation</w:t>
      </w:r>
      <w:proofErr w:type="spellEnd"/>
      <w:r w:rsidRPr="009B48B5">
        <w:rPr>
          <w:rFonts w:ascii="Arial" w:hAnsi="Arial" w:cs="Arial"/>
          <w:color w:val="auto"/>
          <w:szCs w:val="20"/>
        </w:rPr>
        <w:t xml:space="preserve"> by law enforcement agencies. However, efforts are hampered by low levels of community participation, particularly in terms of </w:t>
      </w:r>
      <w:r w:rsidRPr="009B48B5">
        <w:rPr>
          <w:rFonts w:ascii="Arial" w:hAnsi="Arial" w:cs="Arial"/>
          <w:color w:val="auto"/>
          <w:szCs w:val="20"/>
        </w:rPr>
        <w:lastRenderedPageBreak/>
        <w:t xml:space="preserve">public reporting and engagement in preventive </w:t>
      </w:r>
      <w:proofErr w:type="spellStart"/>
      <w:r w:rsidRPr="009B48B5">
        <w:rPr>
          <w:rFonts w:ascii="Arial" w:hAnsi="Arial" w:cs="Arial"/>
          <w:color w:val="auto"/>
          <w:szCs w:val="20"/>
        </w:rPr>
        <w:t>programmes</w:t>
      </w:r>
      <w:proofErr w:type="spellEnd"/>
      <w:r w:rsidRPr="009B48B5">
        <w:rPr>
          <w:rFonts w:ascii="Arial" w:hAnsi="Arial" w:cs="Arial"/>
          <w:color w:val="auto"/>
          <w:szCs w:val="20"/>
        </w:rPr>
        <w:t>. This limited involvement highlights the urgent need to rebuild collective awareness, promote civic responsibility, and foster active citizen participation as integral components of the fight against narcotics.</w:t>
      </w:r>
    </w:p>
    <w:p w14:paraId="7F646A7D" w14:textId="58BC0B60" w:rsidR="000F0085" w:rsidRPr="009B48B5" w:rsidRDefault="00700A71" w:rsidP="009B48B5">
      <w:pPr>
        <w:pStyle w:val="JW37itemize"/>
        <w:numPr>
          <w:ilvl w:val="0"/>
          <w:numId w:val="0"/>
        </w:numPr>
        <w:spacing w:line="480" w:lineRule="auto"/>
        <w:ind w:firstLine="709"/>
        <w:rPr>
          <w:rFonts w:ascii="Arial" w:hAnsi="Arial" w:cs="Arial"/>
          <w:color w:val="auto"/>
          <w:szCs w:val="20"/>
        </w:rPr>
      </w:pPr>
      <w:r w:rsidRPr="009B48B5">
        <w:rPr>
          <w:rFonts w:ascii="Arial" w:hAnsi="Arial" w:cs="Arial"/>
          <w:color w:val="auto"/>
          <w:szCs w:val="20"/>
        </w:rPr>
        <w:t xml:space="preserve">The family unit, especially parental roles, plays a vital role in preventing drug abuse among youth. Parents act as the first line of </w:t>
      </w:r>
      <w:proofErr w:type="spellStart"/>
      <w:r w:rsidRPr="009B48B5">
        <w:rPr>
          <w:rFonts w:ascii="Arial" w:hAnsi="Arial" w:cs="Arial"/>
          <w:color w:val="auto"/>
          <w:szCs w:val="20"/>
        </w:rPr>
        <w:t>defence</w:t>
      </w:r>
      <w:proofErr w:type="spellEnd"/>
      <w:r w:rsidRPr="009B48B5">
        <w:rPr>
          <w:rFonts w:ascii="Arial" w:hAnsi="Arial" w:cs="Arial"/>
          <w:color w:val="auto"/>
          <w:szCs w:val="20"/>
        </w:rPr>
        <w:t xml:space="preserve"> by supervising, educating, and guiding children to avoid involvement in illicit substances. Unfortunately, this preventive role is frequently neglected, and public advisories issued by local authorities have proven largely ineffective, often due to their lack of inclusivity, systematic delivery, and failure to resonate with diverse community groups. It is therefore imperative to strengthen local government campaigns by adopting more participatory, culturally sensitive, and sustained communication strategies that effectively reach and engage all segments of society </w:t>
      </w:r>
      <w:r w:rsidR="00B45545" w:rsidRPr="009B48B5">
        <w:rPr>
          <w:rFonts w:ascii="Arial" w:hAnsi="Arial" w:cs="Arial"/>
          <w:color w:val="auto"/>
          <w:szCs w:val="20"/>
        </w:rPr>
        <w:fldChar w:fldCharType="begin" w:fldLock="1"/>
      </w:r>
      <w:r w:rsidR="00B45545" w:rsidRPr="009B48B5">
        <w:rPr>
          <w:rFonts w:ascii="Arial" w:hAnsi="Arial" w:cs="Arial"/>
          <w:color w:val="auto"/>
          <w:szCs w:val="20"/>
        </w:rPr>
        <w:instrText>ADDIN CSL_CITATION {"citationItems":[{"id":"ITEM-1","itemData":{"DOI":"10.34312/lamahu.v1i1.13438","ISSN":"2828-6839","abstract":"The purpose of the socialization activity on the dangers of drug abuse in Junior High School (SMP) Negeri 4 Kwandang, North Gorontalo Regency is so that participants can understand the impact of drug use, both physical, psychological and socio-economic impacts. Socialization activities use participatory methods, lectures and discussions. The socialization activity was carried out on October 12, 2021 with the number of participants who took part in the socialization activity consisting of 25 students and 10 teachers located in the hall of SMP Negeri 4 Kwandang. For this reason, through socialization activities on the dangers of drug abuse, it is able to increase the understanding of students of SMP Negeri 4 Kwandang about the types of narcotics, the impact of drug abuse from the physical, psychological, educational, social and economic aspects as well as ways to prevent and overcome drug abuse among children and teenager. For this reason, this socialization activity can fortify the younger generation as the nation's next generation, especially students at SMP Negeri 4 Kwandang, North Gorontalo Regency from the dangers of drug abuse.","author":[{"dropping-particle":"","family":"Mardin","given":"Herinda","non-dropping-particle":"","parse-names":false,"suffix":""},{"dropping-particle":"","family":"Hariana","given":"Hariana","non-dropping-particle":"","parse-names":false,"suffix":""},{"dropping-particle":"","family":"Lasalewo","given":"Trifandi","non-dropping-particle":"","parse-names":false,"suffix":""}],"container-title":"LAMAHU: Jurnal Pengabdian Masyarakat Terintegrasi","id":"ITEM-1","issue":"1","issued":{"date-parts":[["2022"]]},"page":"9-15","title":"Sosialisasi Bahaya Penyalahgunaan Narkoba Bagi Peserta Didik SMP Negeri 4 Kwandang Kabupaten Gorontalo Utara","type":"article-journal","volume":"1"},"uris":["http://www.mendeley.com/documents/?uuid=bed7ca68-9366-4612-b11e-0271aaed9641"]}],"mendeley":{"formattedCitation":"(Mardin et al., 2022)","plainTextFormattedCitation":"(Mardin et al., 2022)","previouslyFormattedCitation":"(Mardin et al., 2022)"},"properties":{"noteIndex":0},"schema":"https://github.com/citation-style-language/schema/raw/master/csl-citation.json"}</w:instrText>
      </w:r>
      <w:r w:rsidR="00B45545" w:rsidRPr="009B48B5">
        <w:rPr>
          <w:rFonts w:ascii="Arial" w:hAnsi="Arial" w:cs="Arial"/>
          <w:color w:val="auto"/>
          <w:szCs w:val="20"/>
        </w:rPr>
        <w:fldChar w:fldCharType="separate"/>
      </w:r>
      <w:r w:rsidR="00B45545" w:rsidRPr="009B48B5">
        <w:rPr>
          <w:rFonts w:ascii="Arial" w:hAnsi="Arial" w:cs="Arial"/>
          <w:noProof/>
          <w:color w:val="auto"/>
          <w:szCs w:val="20"/>
        </w:rPr>
        <w:t>(Mardin et al., 2022)</w:t>
      </w:r>
      <w:r w:rsidR="00B45545" w:rsidRPr="009B48B5">
        <w:rPr>
          <w:rFonts w:ascii="Arial" w:hAnsi="Arial" w:cs="Arial"/>
          <w:color w:val="auto"/>
          <w:szCs w:val="20"/>
        </w:rPr>
        <w:fldChar w:fldCharType="end"/>
      </w:r>
      <w:r w:rsidR="000F0085" w:rsidRPr="009B48B5">
        <w:rPr>
          <w:rFonts w:ascii="Arial" w:hAnsi="Arial" w:cs="Arial"/>
          <w:color w:val="auto"/>
          <w:szCs w:val="20"/>
        </w:rPr>
        <w:t>.</w:t>
      </w:r>
    </w:p>
    <w:p w14:paraId="4A563DE9" w14:textId="7002C61A" w:rsidR="000F0085" w:rsidRPr="009B48B5" w:rsidRDefault="00700A71" w:rsidP="009B48B5">
      <w:pPr>
        <w:pStyle w:val="JW37itemize"/>
        <w:numPr>
          <w:ilvl w:val="0"/>
          <w:numId w:val="0"/>
        </w:numPr>
        <w:spacing w:line="480" w:lineRule="auto"/>
        <w:ind w:firstLine="709"/>
        <w:rPr>
          <w:rFonts w:ascii="Arial" w:hAnsi="Arial" w:cs="Arial"/>
          <w:color w:val="auto"/>
          <w:szCs w:val="20"/>
        </w:rPr>
      </w:pPr>
      <w:r w:rsidRPr="009B48B5">
        <w:rPr>
          <w:rFonts w:ascii="Arial" w:hAnsi="Arial" w:cs="Arial"/>
          <w:color w:val="auto"/>
          <w:szCs w:val="20"/>
        </w:rPr>
        <w:t xml:space="preserve">Moving forward, it is essential to </w:t>
      </w:r>
      <w:proofErr w:type="spellStart"/>
      <w:r w:rsidRPr="009B48B5">
        <w:rPr>
          <w:rFonts w:ascii="Arial" w:hAnsi="Arial" w:cs="Arial"/>
          <w:color w:val="auto"/>
          <w:szCs w:val="20"/>
        </w:rPr>
        <w:t>prioritise</w:t>
      </w:r>
      <w:proofErr w:type="spellEnd"/>
      <w:r w:rsidRPr="009B48B5">
        <w:rPr>
          <w:rFonts w:ascii="Arial" w:hAnsi="Arial" w:cs="Arial"/>
          <w:color w:val="auto"/>
          <w:szCs w:val="20"/>
        </w:rPr>
        <w:t xml:space="preserve"> closer, more effective collaboration between government entities, civil society </w:t>
      </w:r>
      <w:proofErr w:type="spellStart"/>
      <w:r w:rsidRPr="009B48B5">
        <w:rPr>
          <w:rFonts w:ascii="Arial" w:hAnsi="Arial" w:cs="Arial"/>
          <w:color w:val="auto"/>
          <w:szCs w:val="20"/>
        </w:rPr>
        <w:t>organisations</w:t>
      </w:r>
      <w:proofErr w:type="spellEnd"/>
      <w:r w:rsidRPr="009B48B5">
        <w:rPr>
          <w:rFonts w:ascii="Arial" w:hAnsi="Arial" w:cs="Arial"/>
          <w:color w:val="auto"/>
          <w:szCs w:val="20"/>
        </w:rPr>
        <w:t xml:space="preserve">, educational institutions, religious leaders, and other relevant stakeholders </w:t>
      </w:r>
      <w:r w:rsidR="00B45545" w:rsidRPr="009B48B5">
        <w:rPr>
          <w:rFonts w:ascii="Arial" w:hAnsi="Arial" w:cs="Arial"/>
          <w:color w:val="auto"/>
          <w:szCs w:val="20"/>
        </w:rPr>
        <w:fldChar w:fldCharType="begin" w:fldLock="1"/>
      </w:r>
      <w:r w:rsidR="00B45545" w:rsidRPr="009B48B5">
        <w:rPr>
          <w:rFonts w:ascii="Arial" w:hAnsi="Arial" w:cs="Arial"/>
          <w:color w:val="auto"/>
          <w:szCs w:val="20"/>
        </w:rPr>
        <w:instrText>ADDIN CSL_CITATION {"citationItems":[{"id":"ITEM-1","itemData":{"DOI":"10.26532/ijlss.v1i1.14738","abstract":"Narkoba sangat berbahanya bagi tubuh kita karena dampak yang ditimbulkan akibat penyalahgunaannya dapat merusak fungsi sel-sel syaraf. Peredaran dan penyalahgunaan narkoba di Indonesia semakin meningkat, terutama di kota besar, termasuk Kota Semarang. Perlu diberikan pemahaman kepada masyarakat khususnya generasi muda tentang bahaya narkoba. Pengabidan kepada masyarakat dengan penyuluhan hukum ini bertujuan untuk memberikan pengetahuan dan pemahaman tentang jenis-jenis narkoba, akibat penyalahgunannya, modus peredarannya, dan bagaimana cara pencegahannya. Sebagai mitra adalah Bhabinkamtibmas Polek Genuk, Karang Taruna, Rt, dan RW Desa Gebangsari, Kecamatan Genuk, Kota Semarang. Peserta antusias mengikuti kegiatan terlihat dari pertanyaan dan tangggapan yang disampaikan kepada pemateri. Hasil yang dicapai dari kegiatan ini adalah masyarakat lebih mengetahui dan memahami bahaya penyalahgunaan narkoba dan modus peredarannya sehingga dapat melakukan pencegahan.","author":[{"dropping-particle":"","family":"Widayati","given":"Widayati","non-dropping-particle":"","parse-names":false,"suffix":""},{"dropping-particle":"","family":"Winanto","given":"Winanto","non-dropping-particle":"","parse-names":false,"suffix":""}],"container-title":"International Journal of Law Society Services","id":"ITEM-1","issue":"1","issued":{"date-parts":[["2021"]]},"page":"24","title":"PENYULUHAN HUKUM TENTANG BAHAYA NARKOBA SEBAGAI UPAYA PREVENTIF PEREDARAN DAN PENYALAHGUNAANNYA (Desa Gebangsari, Kecamatan Genuk, Kota Semarang)","type":"article-journal","volume":"1"},"uris":["http://www.mendeley.com/documents/?uuid=23fcc423-eb63-4312-92e9-64fc76f76a40"]}],"mendeley":{"formattedCitation":"(Widayati &amp; Winanto, 2021)","plainTextFormattedCitation":"(Widayati &amp; Winanto, 2021)","previouslyFormattedCitation":"(Widayati &amp; Winanto, 2021)"},"properties":{"noteIndex":0},"schema":"https://github.com/citation-style-language/schema/raw/master/csl-citation.json"}</w:instrText>
      </w:r>
      <w:r w:rsidR="00B45545" w:rsidRPr="009B48B5">
        <w:rPr>
          <w:rFonts w:ascii="Arial" w:hAnsi="Arial" w:cs="Arial"/>
          <w:color w:val="auto"/>
          <w:szCs w:val="20"/>
        </w:rPr>
        <w:fldChar w:fldCharType="separate"/>
      </w:r>
      <w:r w:rsidR="00B45545" w:rsidRPr="009B48B5">
        <w:rPr>
          <w:rFonts w:ascii="Arial" w:hAnsi="Arial" w:cs="Arial"/>
          <w:noProof/>
          <w:color w:val="auto"/>
          <w:szCs w:val="20"/>
        </w:rPr>
        <w:t>(Widayati &amp; Winanto, 2021)</w:t>
      </w:r>
      <w:r w:rsidR="00B45545" w:rsidRPr="009B48B5">
        <w:rPr>
          <w:rFonts w:ascii="Arial" w:hAnsi="Arial" w:cs="Arial"/>
          <w:color w:val="auto"/>
          <w:szCs w:val="20"/>
        </w:rPr>
        <w:fldChar w:fldCharType="end"/>
      </w:r>
      <w:r w:rsidR="000F0085" w:rsidRPr="009B48B5">
        <w:rPr>
          <w:rFonts w:ascii="Arial" w:hAnsi="Arial" w:cs="Arial"/>
          <w:color w:val="auto"/>
          <w:szCs w:val="20"/>
        </w:rPr>
        <w:t xml:space="preserve">. </w:t>
      </w:r>
      <w:r w:rsidRPr="009B48B5">
        <w:rPr>
          <w:rFonts w:ascii="Arial" w:hAnsi="Arial" w:cs="Arial"/>
          <w:color w:val="auto"/>
          <w:szCs w:val="20"/>
        </w:rPr>
        <w:t xml:space="preserve">The implementation of a holistic, integrated, and comprehensive strategy encompassing preventive, curative, and rehabilitative dimensions must be pursued without delay. </w:t>
      </w:r>
      <w:proofErr w:type="spellStart"/>
      <w:r w:rsidRPr="009B48B5">
        <w:rPr>
          <w:rFonts w:ascii="Arial" w:hAnsi="Arial" w:cs="Arial"/>
          <w:color w:val="auto"/>
          <w:szCs w:val="20"/>
        </w:rPr>
        <w:t>Sambinae</w:t>
      </w:r>
      <w:proofErr w:type="spellEnd"/>
      <w:r w:rsidRPr="009B48B5">
        <w:rPr>
          <w:rFonts w:ascii="Arial" w:hAnsi="Arial" w:cs="Arial"/>
          <w:color w:val="auto"/>
          <w:szCs w:val="20"/>
        </w:rPr>
        <w:t xml:space="preserve"> Subdistrict represents a high-priority area requiring immediate attention to strengthen institutional capacity, elevate public literacy on narcotics-related issues, and develop robust community-based support systems capable of addressing local challenges with precision, relevance, and sustainability. </w:t>
      </w:r>
    </w:p>
    <w:p w14:paraId="3EC242EE" w14:textId="77777777" w:rsidR="001E538B" w:rsidRPr="009B48B5" w:rsidRDefault="001E538B" w:rsidP="009B48B5">
      <w:pPr>
        <w:pStyle w:val="JW37itemize"/>
        <w:numPr>
          <w:ilvl w:val="0"/>
          <w:numId w:val="0"/>
        </w:numPr>
        <w:spacing w:line="480" w:lineRule="auto"/>
        <w:ind w:firstLine="709"/>
        <w:rPr>
          <w:rFonts w:ascii="Arial" w:hAnsi="Arial" w:cs="Arial"/>
          <w:color w:val="auto"/>
          <w:szCs w:val="20"/>
        </w:rPr>
      </w:pPr>
    </w:p>
    <w:p w14:paraId="1598BB23" w14:textId="21AB8E57" w:rsidR="00E0317E" w:rsidRPr="009B48B5" w:rsidRDefault="00E0317E" w:rsidP="009B48B5">
      <w:pPr>
        <w:numPr>
          <w:ilvl w:val="0"/>
          <w:numId w:val="1"/>
        </w:numPr>
        <w:pBdr>
          <w:top w:val="nil"/>
          <w:left w:val="nil"/>
          <w:bottom w:val="nil"/>
          <w:right w:val="nil"/>
          <w:between w:val="nil"/>
        </w:pBdr>
        <w:spacing w:after="0" w:line="480" w:lineRule="auto"/>
        <w:ind w:left="0"/>
        <w:rPr>
          <w:rFonts w:ascii="Arial" w:eastAsia="Arial" w:hAnsi="Arial" w:cs="Arial"/>
          <w:b/>
          <w:color w:val="000000"/>
          <w:sz w:val="20"/>
          <w:szCs w:val="20"/>
        </w:rPr>
      </w:pPr>
      <w:r w:rsidRPr="009B48B5">
        <w:rPr>
          <w:rFonts w:ascii="Arial" w:eastAsia="Arial" w:hAnsi="Arial" w:cs="Arial"/>
          <w:b/>
          <w:color w:val="000000"/>
          <w:sz w:val="20"/>
          <w:szCs w:val="20"/>
        </w:rPr>
        <w:t>Result</w:t>
      </w:r>
    </w:p>
    <w:p w14:paraId="50FCB04E" w14:textId="77777777" w:rsidR="00700A71" w:rsidRPr="009B48B5" w:rsidRDefault="00700A71" w:rsidP="009B48B5">
      <w:pPr>
        <w:pStyle w:val="JW37itemize"/>
        <w:numPr>
          <w:ilvl w:val="0"/>
          <w:numId w:val="0"/>
        </w:numPr>
        <w:spacing w:line="480" w:lineRule="auto"/>
        <w:ind w:firstLine="709"/>
        <w:rPr>
          <w:rFonts w:ascii="Arial" w:hAnsi="Arial" w:cs="Arial"/>
          <w:color w:val="auto"/>
          <w:szCs w:val="20"/>
        </w:rPr>
      </w:pPr>
      <w:r w:rsidRPr="009B48B5">
        <w:rPr>
          <w:rFonts w:ascii="Arial" w:hAnsi="Arial" w:cs="Arial"/>
          <w:color w:val="auto"/>
          <w:szCs w:val="20"/>
        </w:rPr>
        <w:t xml:space="preserve">This section presents an extensive analysis of the strategies implemented to mitigate drug trafficking within </w:t>
      </w:r>
      <w:proofErr w:type="spellStart"/>
      <w:r w:rsidRPr="009B48B5">
        <w:rPr>
          <w:rFonts w:ascii="Arial" w:hAnsi="Arial" w:cs="Arial"/>
          <w:color w:val="auto"/>
          <w:szCs w:val="20"/>
        </w:rPr>
        <w:t>Sambinae</w:t>
      </w:r>
      <w:proofErr w:type="spellEnd"/>
      <w:r w:rsidRPr="009B48B5">
        <w:rPr>
          <w:rFonts w:ascii="Arial" w:hAnsi="Arial" w:cs="Arial"/>
          <w:color w:val="auto"/>
          <w:szCs w:val="20"/>
        </w:rPr>
        <w:t xml:space="preserve"> Subdistrict. In confronting the issue of narcotics distribution, a range of strategic interventions has been introduced under the direction of the subdistrict head (</w:t>
      </w:r>
      <w:proofErr w:type="spellStart"/>
      <w:r w:rsidRPr="009B48B5">
        <w:rPr>
          <w:rFonts w:ascii="Arial" w:hAnsi="Arial" w:cs="Arial"/>
          <w:color w:val="auto"/>
          <w:szCs w:val="20"/>
        </w:rPr>
        <w:t>lurah</w:t>
      </w:r>
      <w:proofErr w:type="spellEnd"/>
      <w:r w:rsidRPr="009B48B5">
        <w:rPr>
          <w:rFonts w:ascii="Arial" w:hAnsi="Arial" w:cs="Arial"/>
          <w:color w:val="auto"/>
          <w:szCs w:val="20"/>
        </w:rPr>
        <w:t>). These measures include the systematic coordination of relevant institutional stakeholders, the judicious allocation of resources, and the consolidation of legal and regulatory structures.</w:t>
      </w:r>
    </w:p>
    <w:p w14:paraId="7756990B" w14:textId="77777777" w:rsidR="00700A71" w:rsidRPr="009B48B5" w:rsidRDefault="00700A71" w:rsidP="009B48B5">
      <w:pPr>
        <w:pStyle w:val="JW37itemize"/>
        <w:numPr>
          <w:ilvl w:val="0"/>
          <w:numId w:val="0"/>
        </w:numPr>
        <w:spacing w:line="480" w:lineRule="auto"/>
        <w:ind w:firstLine="709"/>
        <w:rPr>
          <w:rFonts w:ascii="Arial" w:hAnsi="Arial" w:cs="Arial"/>
          <w:color w:val="auto"/>
          <w:szCs w:val="20"/>
        </w:rPr>
      </w:pPr>
      <w:r w:rsidRPr="009B48B5">
        <w:rPr>
          <w:rFonts w:ascii="Arial" w:hAnsi="Arial" w:cs="Arial"/>
          <w:color w:val="auto"/>
          <w:szCs w:val="20"/>
        </w:rPr>
        <w:t xml:space="preserve">Inter-institutional coordination constitutes a fundamental element of these initiatives, given that each entity assumes a specific, complementary function in both the prevention and suppression of narcotics circulation. The effective distribution of resources, encompassing </w:t>
      </w:r>
      <w:r w:rsidRPr="009B48B5">
        <w:rPr>
          <w:rFonts w:ascii="Arial" w:hAnsi="Arial" w:cs="Arial"/>
          <w:color w:val="auto"/>
          <w:szCs w:val="20"/>
        </w:rPr>
        <w:lastRenderedPageBreak/>
        <w:t>financial capital, human resources, and infrastructure, significantly contributes to the efficacy of these strategic interventions. Furthermore, the reinforcement of legislative frameworks and regulatory mechanisms ensures the unequivocal enforcement of sanctions against offenders, thereby promoting public adherence to established policies.</w:t>
      </w:r>
    </w:p>
    <w:p w14:paraId="4967D44C" w14:textId="77777777" w:rsidR="00700A71" w:rsidRPr="009B48B5" w:rsidRDefault="00700A71" w:rsidP="009B48B5">
      <w:pPr>
        <w:pStyle w:val="JW37itemize"/>
        <w:numPr>
          <w:ilvl w:val="0"/>
          <w:numId w:val="0"/>
        </w:numPr>
        <w:spacing w:line="480" w:lineRule="auto"/>
        <w:ind w:firstLine="709"/>
        <w:rPr>
          <w:rFonts w:ascii="Arial" w:hAnsi="Arial" w:cs="Arial"/>
          <w:color w:val="auto"/>
          <w:szCs w:val="20"/>
        </w:rPr>
      </w:pPr>
      <w:r w:rsidRPr="009B48B5">
        <w:rPr>
          <w:rFonts w:ascii="Arial" w:hAnsi="Arial" w:cs="Arial"/>
          <w:color w:val="auto"/>
          <w:szCs w:val="20"/>
        </w:rPr>
        <w:t>Preventive measures are operationalized through systematically formulated policy instruments designed to diminish the incidence of drug trafficking, promote public education, and deter drug misuse at the community level. These initiatives are not exclusively concentrated on enforcement; rather, they incorporate proactive community engagement and public awareness campaigns intended to cultivate a sustainable environment resistant to drug proliferation.</w:t>
      </w:r>
    </w:p>
    <w:p w14:paraId="5ADE923A" w14:textId="77777777" w:rsidR="00700A71" w:rsidRPr="009B48B5" w:rsidRDefault="00700A71" w:rsidP="009B48B5">
      <w:pPr>
        <w:pStyle w:val="JW37itemize"/>
        <w:numPr>
          <w:ilvl w:val="0"/>
          <w:numId w:val="0"/>
        </w:numPr>
        <w:spacing w:line="480" w:lineRule="auto"/>
        <w:ind w:firstLine="709"/>
        <w:rPr>
          <w:rFonts w:ascii="Arial" w:hAnsi="Arial" w:cs="Arial"/>
          <w:color w:val="auto"/>
          <w:szCs w:val="20"/>
        </w:rPr>
      </w:pPr>
      <w:r w:rsidRPr="009B48B5">
        <w:rPr>
          <w:rFonts w:ascii="Arial" w:hAnsi="Arial" w:cs="Arial"/>
          <w:color w:val="auto"/>
          <w:szCs w:val="20"/>
        </w:rPr>
        <w:t xml:space="preserve">Moreover, this analysis underscores the pivotal role of community participation in reinforcing both preventive and rehabilitative responses to drug abuse within </w:t>
      </w:r>
      <w:proofErr w:type="spellStart"/>
      <w:r w:rsidRPr="009B48B5">
        <w:rPr>
          <w:rFonts w:ascii="Arial" w:hAnsi="Arial" w:cs="Arial"/>
          <w:color w:val="auto"/>
          <w:szCs w:val="20"/>
        </w:rPr>
        <w:t>Sambinae</w:t>
      </w:r>
      <w:proofErr w:type="spellEnd"/>
      <w:r w:rsidRPr="009B48B5">
        <w:rPr>
          <w:rFonts w:ascii="Arial" w:hAnsi="Arial" w:cs="Arial"/>
          <w:color w:val="auto"/>
          <w:szCs w:val="20"/>
        </w:rPr>
        <w:t xml:space="preserve"> Subdistrict. A critical component of these efforts involves enhancing formal education systems to elevate youth awareness regarding the risks and consequences associated with narcotics consumption. The formation of peer support groups has also demonstrated efficacy in providing essential social and psychological assistance to individuals affected by substance abuse.</w:t>
      </w:r>
    </w:p>
    <w:p w14:paraId="4FA6CD5A" w14:textId="396E6327" w:rsidR="00700A71" w:rsidRPr="009B48B5" w:rsidRDefault="00700A71" w:rsidP="009B48B5">
      <w:pPr>
        <w:pStyle w:val="JW37itemize"/>
        <w:numPr>
          <w:ilvl w:val="0"/>
          <w:numId w:val="0"/>
        </w:numPr>
        <w:spacing w:line="480" w:lineRule="auto"/>
        <w:ind w:firstLine="709"/>
        <w:rPr>
          <w:rFonts w:ascii="Arial" w:hAnsi="Arial" w:cs="Arial"/>
          <w:color w:val="auto"/>
          <w:szCs w:val="20"/>
        </w:rPr>
      </w:pPr>
      <w:r w:rsidRPr="009B48B5">
        <w:rPr>
          <w:rFonts w:ascii="Arial" w:hAnsi="Arial" w:cs="Arial"/>
          <w:color w:val="auto"/>
          <w:szCs w:val="20"/>
        </w:rPr>
        <w:t>The establishment of collaborative partnerships with governmental and non-governmental organizations has augmented the availability of resources and expanded the support network, thereby enhancing the overall effectiveness of both prevention and rehabilitation programs. Through such cooperative mechanisms, it is anticipated that a synergistic relationship will be fostered among community members, institutional stakeholders, and governmental authorities, thereby contributing to the creation of a drug-free environment and supporting comprehensive rehabilitation initiatives for individuals impacted by drug abuse.</w:t>
      </w:r>
    </w:p>
    <w:p w14:paraId="0A0F28AC" w14:textId="77777777" w:rsidR="00F51692" w:rsidRPr="009B48B5" w:rsidRDefault="00F51692" w:rsidP="009B48B5">
      <w:pPr>
        <w:pStyle w:val="JW37itemize"/>
        <w:numPr>
          <w:ilvl w:val="0"/>
          <w:numId w:val="0"/>
        </w:numPr>
        <w:spacing w:line="480" w:lineRule="auto"/>
        <w:ind w:firstLine="709"/>
        <w:rPr>
          <w:rFonts w:ascii="Arial" w:hAnsi="Arial" w:cs="Arial"/>
          <w:color w:val="auto"/>
          <w:szCs w:val="20"/>
        </w:rPr>
      </w:pPr>
    </w:p>
    <w:p w14:paraId="1AF22738" w14:textId="613DB5B6" w:rsidR="001E538B" w:rsidRPr="009B48B5" w:rsidRDefault="00F51692" w:rsidP="009B48B5">
      <w:pPr>
        <w:pStyle w:val="JW37itemize"/>
        <w:numPr>
          <w:ilvl w:val="0"/>
          <w:numId w:val="0"/>
        </w:numPr>
        <w:spacing w:line="480" w:lineRule="auto"/>
        <w:ind w:hanging="425"/>
        <w:rPr>
          <w:rFonts w:ascii="Arial" w:hAnsi="Arial" w:cs="Arial"/>
          <w:b/>
          <w:bCs/>
          <w:color w:val="auto"/>
          <w:szCs w:val="20"/>
        </w:rPr>
      </w:pPr>
      <w:r w:rsidRPr="009B48B5">
        <w:rPr>
          <w:rFonts w:ascii="Arial" w:hAnsi="Arial" w:cs="Arial"/>
          <w:b/>
          <w:bCs/>
          <w:color w:val="auto"/>
          <w:szCs w:val="20"/>
        </w:rPr>
        <w:t xml:space="preserve">         </w:t>
      </w:r>
      <w:r w:rsidR="009B48B5" w:rsidRPr="009B48B5">
        <w:rPr>
          <w:rFonts w:ascii="Arial" w:hAnsi="Arial" w:cs="Arial"/>
          <w:b/>
          <w:bCs/>
          <w:color w:val="auto"/>
          <w:szCs w:val="20"/>
        </w:rPr>
        <w:t xml:space="preserve">2.1 </w:t>
      </w:r>
      <w:r w:rsidRPr="009B48B5">
        <w:rPr>
          <w:rFonts w:ascii="Arial" w:hAnsi="Arial" w:cs="Arial"/>
          <w:b/>
          <w:bCs/>
          <w:color w:val="auto"/>
          <w:szCs w:val="20"/>
        </w:rPr>
        <w:t>Strategic Approaches to Preventing Drug Trafficking</w:t>
      </w:r>
    </w:p>
    <w:p w14:paraId="3B1D12CD" w14:textId="427CC34B" w:rsidR="00F8738E" w:rsidRPr="009B48B5" w:rsidRDefault="00F8738E" w:rsidP="009B48B5">
      <w:pPr>
        <w:pBdr>
          <w:top w:val="nil"/>
          <w:left w:val="nil"/>
          <w:bottom w:val="nil"/>
          <w:right w:val="nil"/>
          <w:between w:val="nil"/>
        </w:pBdr>
        <w:spacing w:after="0" w:line="480" w:lineRule="auto"/>
        <w:ind w:firstLine="709"/>
        <w:jc w:val="both"/>
        <w:rPr>
          <w:rFonts w:ascii="Arial" w:eastAsia="Arial" w:hAnsi="Arial" w:cs="Arial"/>
          <w:bCs/>
          <w:color w:val="000000"/>
          <w:sz w:val="20"/>
          <w:szCs w:val="20"/>
          <w:lang w:val="en-ID"/>
        </w:rPr>
      </w:pPr>
      <w:r w:rsidRPr="009B48B5">
        <w:rPr>
          <w:rFonts w:ascii="Arial" w:eastAsia="Arial" w:hAnsi="Arial" w:cs="Arial"/>
          <w:bCs/>
          <w:color w:val="000000"/>
          <w:sz w:val="20"/>
          <w:szCs w:val="20"/>
          <w:lang w:val="en-ID"/>
        </w:rPr>
        <w:t xml:space="preserve">The strategic significance of efforts to prevent drug trafficking within </w:t>
      </w:r>
      <w:proofErr w:type="spellStart"/>
      <w:r w:rsidRPr="009B48B5">
        <w:rPr>
          <w:rFonts w:ascii="Arial" w:eastAsia="Arial" w:hAnsi="Arial" w:cs="Arial"/>
          <w:bCs/>
          <w:color w:val="000000"/>
          <w:sz w:val="20"/>
          <w:szCs w:val="20"/>
          <w:lang w:val="en-ID"/>
        </w:rPr>
        <w:t>Sambinae</w:t>
      </w:r>
      <w:proofErr w:type="spellEnd"/>
      <w:r w:rsidRPr="009B48B5">
        <w:rPr>
          <w:rFonts w:ascii="Arial" w:eastAsia="Arial" w:hAnsi="Arial" w:cs="Arial"/>
          <w:bCs/>
          <w:color w:val="000000"/>
          <w:sz w:val="20"/>
          <w:szCs w:val="20"/>
          <w:lang w:val="en-ID"/>
        </w:rPr>
        <w:t xml:space="preserve"> Subdistrict is considerable, given the extensive adverse consequences of narcotics abuse at both individual and societal levels. Substance misuse contributes to the deterioration of physical and psychological health, erodes social cohesion, escalates crime rates, and compromises the developmental prospects of younger generations. Consequently, the formulation and execution </w:t>
      </w:r>
      <w:r w:rsidRPr="009B48B5">
        <w:rPr>
          <w:rFonts w:ascii="Arial" w:eastAsia="Arial" w:hAnsi="Arial" w:cs="Arial"/>
          <w:bCs/>
          <w:color w:val="000000"/>
          <w:sz w:val="20"/>
          <w:szCs w:val="20"/>
          <w:lang w:val="en-ID"/>
        </w:rPr>
        <w:lastRenderedPageBreak/>
        <w:t>of a comprehensive, integrated, and adaptable prevention strategy is essential to the establishment of an effective and sustainable system of social protection.</w:t>
      </w:r>
    </w:p>
    <w:p w14:paraId="2237F884" w14:textId="77777777" w:rsidR="00F8738E" w:rsidRPr="009B48B5" w:rsidRDefault="00F8738E" w:rsidP="009B48B5">
      <w:pPr>
        <w:pBdr>
          <w:top w:val="nil"/>
          <w:left w:val="nil"/>
          <w:bottom w:val="nil"/>
          <w:right w:val="nil"/>
          <w:between w:val="nil"/>
        </w:pBdr>
        <w:spacing w:after="0" w:line="480" w:lineRule="auto"/>
        <w:ind w:firstLine="709"/>
        <w:jc w:val="both"/>
        <w:rPr>
          <w:rFonts w:ascii="Arial" w:eastAsia="Arial" w:hAnsi="Arial" w:cs="Arial"/>
          <w:bCs/>
          <w:color w:val="000000"/>
          <w:sz w:val="20"/>
          <w:szCs w:val="20"/>
          <w:lang w:val="en-ID"/>
        </w:rPr>
      </w:pPr>
      <w:r w:rsidRPr="009B48B5">
        <w:rPr>
          <w:rFonts w:ascii="Arial" w:eastAsia="Arial" w:hAnsi="Arial" w:cs="Arial"/>
          <w:bCs/>
          <w:color w:val="000000"/>
          <w:sz w:val="20"/>
          <w:szCs w:val="20"/>
          <w:lang w:val="en-ID"/>
        </w:rPr>
        <w:t xml:space="preserve">The anti-narcotics strategy adopted in </w:t>
      </w:r>
      <w:proofErr w:type="spellStart"/>
      <w:r w:rsidRPr="009B48B5">
        <w:rPr>
          <w:rFonts w:ascii="Arial" w:eastAsia="Arial" w:hAnsi="Arial" w:cs="Arial"/>
          <w:bCs/>
          <w:color w:val="000000"/>
          <w:sz w:val="20"/>
          <w:szCs w:val="20"/>
          <w:lang w:val="en-ID"/>
        </w:rPr>
        <w:t>Sambinae</w:t>
      </w:r>
      <w:proofErr w:type="spellEnd"/>
      <w:r w:rsidRPr="009B48B5">
        <w:rPr>
          <w:rFonts w:ascii="Arial" w:eastAsia="Arial" w:hAnsi="Arial" w:cs="Arial"/>
          <w:bCs/>
          <w:color w:val="000000"/>
          <w:sz w:val="20"/>
          <w:szCs w:val="20"/>
          <w:lang w:val="en-ID"/>
        </w:rPr>
        <w:t xml:space="preserve"> Subdistrict is structured around four principal pillars: institutional coordination, the optimization of resource allocation, regulatory enforcement, and the implementation of community-based preventive policies. Collaboration among various institutional actors, including law enforcement agencies, health services, educational institutions, and civil society organizations, has fostered strategic synergies wherein each stakeholder contributes distinct yet complementary capacities. Law enforcement entities primarily focus on surveillance and legal intervention, whereas the health and education sectors engage in </w:t>
      </w:r>
      <w:proofErr w:type="spellStart"/>
      <w:r w:rsidRPr="009B48B5">
        <w:rPr>
          <w:rFonts w:ascii="Arial" w:eastAsia="Arial" w:hAnsi="Arial" w:cs="Arial"/>
          <w:bCs/>
          <w:color w:val="000000"/>
          <w:sz w:val="20"/>
          <w:szCs w:val="20"/>
          <w:lang w:val="en-ID"/>
        </w:rPr>
        <w:t>counseling</w:t>
      </w:r>
      <w:proofErr w:type="spellEnd"/>
      <w:r w:rsidRPr="009B48B5">
        <w:rPr>
          <w:rFonts w:ascii="Arial" w:eastAsia="Arial" w:hAnsi="Arial" w:cs="Arial"/>
          <w:bCs/>
          <w:color w:val="000000"/>
          <w:sz w:val="20"/>
          <w:szCs w:val="20"/>
          <w:lang w:val="en-ID"/>
        </w:rPr>
        <w:t>, public education, and rehabilitation initiatives.</w:t>
      </w:r>
    </w:p>
    <w:p w14:paraId="1F5C938A" w14:textId="77777777" w:rsidR="00F8738E" w:rsidRPr="009B48B5" w:rsidRDefault="00F8738E" w:rsidP="009B48B5">
      <w:pPr>
        <w:pBdr>
          <w:top w:val="nil"/>
          <w:left w:val="nil"/>
          <w:bottom w:val="nil"/>
          <w:right w:val="nil"/>
          <w:between w:val="nil"/>
        </w:pBdr>
        <w:spacing w:after="0" w:line="480" w:lineRule="auto"/>
        <w:ind w:firstLine="709"/>
        <w:jc w:val="both"/>
        <w:rPr>
          <w:rFonts w:ascii="Arial" w:eastAsia="Arial" w:hAnsi="Arial" w:cs="Arial"/>
          <w:bCs/>
          <w:color w:val="000000"/>
          <w:sz w:val="20"/>
          <w:szCs w:val="20"/>
          <w:lang w:val="en-ID"/>
        </w:rPr>
      </w:pPr>
      <w:r w:rsidRPr="009B48B5">
        <w:rPr>
          <w:rFonts w:ascii="Arial" w:eastAsia="Arial" w:hAnsi="Arial" w:cs="Arial"/>
          <w:bCs/>
          <w:color w:val="000000"/>
          <w:sz w:val="20"/>
          <w:szCs w:val="20"/>
          <w:lang w:val="en-ID"/>
        </w:rPr>
        <w:t>The optimal allocation of resources constitutes a critical foundation for the success of prevention initiatives. Financial investment, the deployment of skilled personnel, and the provision of adequate infrastructure are indispensable to the effective implementation of training programs, public outreach efforts, and rehabilitative services. In the absence of sufficient resource allocation, prevention programs risk being inadequate and failing to comprehensively address vulnerable populations.</w:t>
      </w:r>
    </w:p>
    <w:p w14:paraId="22F21AF3" w14:textId="77777777" w:rsidR="00F8738E" w:rsidRPr="009B48B5" w:rsidRDefault="00F8738E" w:rsidP="009B48B5">
      <w:pPr>
        <w:pBdr>
          <w:top w:val="nil"/>
          <w:left w:val="nil"/>
          <w:bottom w:val="nil"/>
          <w:right w:val="nil"/>
          <w:between w:val="nil"/>
        </w:pBdr>
        <w:spacing w:after="0" w:line="480" w:lineRule="auto"/>
        <w:ind w:firstLine="709"/>
        <w:jc w:val="both"/>
        <w:rPr>
          <w:rFonts w:ascii="Arial" w:eastAsia="Arial" w:hAnsi="Arial" w:cs="Arial"/>
          <w:bCs/>
          <w:color w:val="000000"/>
          <w:sz w:val="20"/>
          <w:szCs w:val="20"/>
          <w:lang w:val="en-ID"/>
        </w:rPr>
      </w:pPr>
      <w:r w:rsidRPr="009B48B5">
        <w:rPr>
          <w:rFonts w:ascii="Arial" w:eastAsia="Arial" w:hAnsi="Arial" w:cs="Arial"/>
          <w:bCs/>
          <w:color w:val="000000"/>
          <w:sz w:val="20"/>
          <w:szCs w:val="20"/>
          <w:lang w:val="en-ID"/>
        </w:rPr>
        <w:t>Robust regulatory frameworks and consistent law enforcement are also integral to the consolidation of prevention efforts. Law No. 35 of 2009 on Narcotics serves as a legal foundation that empowers subdistrict governments to play an active role in preventing and eradicating narcotics-related activities. Within this framework, the subdistrict administration functions as a decentralized extension of central government authority by disseminating critical information, mobilizing grassroots movements, and coordinating societal responses to emerging narcotics threats.</w:t>
      </w:r>
    </w:p>
    <w:p w14:paraId="09CEAC10" w14:textId="77777777" w:rsidR="00F8738E" w:rsidRPr="009B48B5" w:rsidRDefault="00F8738E" w:rsidP="009B48B5">
      <w:pPr>
        <w:pBdr>
          <w:top w:val="nil"/>
          <w:left w:val="nil"/>
          <w:bottom w:val="nil"/>
          <w:right w:val="nil"/>
          <w:between w:val="nil"/>
        </w:pBdr>
        <w:spacing w:after="0" w:line="480" w:lineRule="auto"/>
        <w:ind w:firstLine="709"/>
        <w:jc w:val="both"/>
        <w:rPr>
          <w:rFonts w:ascii="Arial" w:eastAsia="Arial" w:hAnsi="Arial" w:cs="Arial"/>
          <w:bCs/>
          <w:color w:val="000000"/>
          <w:sz w:val="20"/>
          <w:szCs w:val="20"/>
          <w:lang w:val="en-ID"/>
        </w:rPr>
      </w:pPr>
      <w:r w:rsidRPr="009B48B5">
        <w:rPr>
          <w:rFonts w:ascii="Arial" w:eastAsia="Arial" w:hAnsi="Arial" w:cs="Arial"/>
          <w:bCs/>
          <w:color w:val="000000"/>
          <w:sz w:val="20"/>
          <w:szCs w:val="20"/>
          <w:lang w:val="en-ID"/>
        </w:rPr>
        <w:t xml:space="preserve">The prevention strategy implemented in </w:t>
      </w:r>
      <w:proofErr w:type="spellStart"/>
      <w:r w:rsidRPr="009B48B5">
        <w:rPr>
          <w:rFonts w:ascii="Arial" w:eastAsia="Arial" w:hAnsi="Arial" w:cs="Arial"/>
          <w:bCs/>
          <w:color w:val="000000"/>
          <w:sz w:val="20"/>
          <w:szCs w:val="20"/>
          <w:lang w:val="en-ID"/>
        </w:rPr>
        <w:t>Sambinae</w:t>
      </w:r>
      <w:proofErr w:type="spellEnd"/>
      <w:r w:rsidRPr="009B48B5">
        <w:rPr>
          <w:rFonts w:ascii="Arial" w:eastAsia="Arial" w:hAnsi="Arial" w:cs="Arial"/>
          <w:bCs/>
          <w:color w:val="000000"/>
          <w:sz w:val="20"/>
          <w:szCs w:val="20"/>
          <w:lang w:val="en-ID"/>
        </w:rPr>
        <w:t xml:space="preserve"> incorporates a multidimensional approach that integrates elements of Soft Power, Hard Power, and Smart Power. Soft Power is operationalized through educational campaigns, public awareness initiatives, and preventative engagement, particularly targeting vulnerable youth populations. Hard Power consists of rigorous surveillance measures, security operations, and decisive legal action directed at drug traffickers. In parallel, Smart Power involves the utilization of digital technologies, including data analytics </w:t>
      </w:r>
      <w:r w:rsidRPr="009B48B5">
        <w:rPr>
          <w:rFonts w:ascii="Arial" w:eastAsia="Arial" w:hAnsi="Arial" w:cs="Arial"/>
          <w:bCs/>
          <w:color w:val="000000"/>
          <w:sz w:val="20"/>
          <w:szCs w:val="20"/>
          <w:lang w:val="en-ID"/>
        </w:rPr>
        <w:lastRenderedPageBreak/>
        <w:t>and monitoring systems, to identify risk patterns and support timely, evidence-based interventions.</w:t>
      </w:r>
    </w:p>
    <w:p w14:paraId="7CE81200" w14:textId="77777777" w:rsidR="00F8738E" w:rsidRPr="009B48B5" w:rsidRDefault="00F8738E" w:rsidP="009B48B5">
      <w:pPr>
        <w:pBdr>
          <w:top w:val="nil"/>
          <w:left w:val="nil"/>
          <w:bottom w:val="nil"/>
          <w:right w:val="nil"/>
          <w:between w:val="nil"/>
        </w:pBdr>
        <w:spacing w:after="0" w:line="480" w:lineRule="auto"/>
        <w:ind w:firstLine="709"/>
        <w:jc w:val="both"/>
        <w:rPr>
          <w:rFonts w:ascii="Arial" w:eastAsia="Arial" w:hAnsi="Arial" w:cs="Arial"/>
          <w:bCs/>
          <w:color w:val="000000"/>
          <w:sz w:val="20"/>
          <w:szCs w:val="20"/>
          <w:lang w:val="en-ID"/>
        </w:rPr>
      </w:pPr>
      <w:r w:rsidRPr="009B48B5">
        <w:rPr>
          <w:rFonts w:ascii="Arial" w:eastAsia="Arial" w:hAnsi="Arial" w:cs="Arial"/>
          <w:bCs/>
          <w:color w:val="000000"/>
          <w:sz w:val="20"/>
          <w:szCs w:val="20"/>
          <w:lang w:val="en-ID"/>
        </w:rPr>
        <w:t xml:space="preserve">Empirical observations reveal that </w:t>
      </w:r>
      <w:proofErr w:type="spellStart"/>
      <w:r w:rsidRPr="009B48B5">
        <w:rPr>
          <w:rFonts w:ascii="Arial" w:eastAsia="Arial" w:hAnsi="Arial" w:cs="Arial"/>
          <w:bCs/>
          <w:color w:val="000000"/>
          <w:sz w:val="20"/>
          <w:szCs w:val="20"/>
          <w:lang w:val="en-ID"/>
        </w:rPr>
        <w:t>Sambinae</w:t>
      </w:r>
      <w:proofErr w:type="spellEnd"/>
      <w:r w:rsidRPr="009B48B5">
        <w:rPr>
          <w:rFonts w:ascii="Arial" w:eastAsia="Arial" w:hAnsi="Arial" w:cs="Arial"/>
          <w:bCs/>
          <w:color w:val="000000"/>
          <w:sz w:val="20"/>
          <w:szCs w:val="20"/>
          <w:lang w:val="en-ID"/>
        </w:rPr>
        <w:t xml:space="preserve"> Subdistrict has established strategic partnerships with key stakeholders such as community policing units (</w:t>
      </w:r>
      <w:proofErr w:type="spellStart"/>
      <w:r w:rsidRPr="009B48B5">
        <w:rPr>
          <w:rFonts w:ascii="Arial" w:eastAsia="Arial" w:hAnsi="Arial" w:cs="Arial"/>
          <w:bCs/>
          <w:color w:val="000000"/>
          <w:sz w:val="20"/>
          <w:szCs w:val="20"/>
          <w:lang w:val="en-ID"/>
        </w:rPr>
        <w:t>Bhabinkamtibmas</w:t>
      </w:r>
      <w:proofErr w:type="spellEnd"/>
      <w:r w:rsidRPr="009B48B5">
        <w:rPr>
          <w:rFonts w:ascii="Arial" w:eastAsia="Arial" w:hAnsi="Arial" w:cs="Arial"/>
          <w:bCs/>
          <w:color w:val="000000"/>
          <w:sz w:val="20"/>
          <w:szCs w:val="20"/>
          <w:lang w:val="en-ID"/>
        </w:rPr>
        <w:t>), territorial military personnel (</w:t>
      </w:r>
      <w:proofErr w:type="spellStart"/>
      <w:r w:rsidRPr="009B48B5">
        <w:rPr>
          <w:rFonts w:ascii="Arial" w:eastAsia="Arial" w:hAnsi="Arial" w:cs="Arial"/>
          <w:bCs/>
          <w:color w:val="000000"/>
          <w:sz w:val="20"/>
          <w:szCs w:val="20"/>
          <w:lang w:val="en-ID"/>
        </w:rPr>
        <w:t>Babinsa</w:t>
      </w:r>
      <w:proofErr w:type="spellEnd"/>
      <w:r w:rsidRPr="009B48B5">
        <w:rPr>
          <w:rFonts w:ascii="Arial" w:eastAsia="Arial" w:hAnsi="Arial" w:cs="Arial"/>
          <w:bCs/>
          <w:color w:val="000000"/>
          <w:sz w:val="20"/>
          <w:szCs w:val="20"/>
          <w:lang w:val="en-ID"/>
        </w:rPr>
        <w:t xml:space="preserve">), religious leaders, local influencers, and the National Narcotics Board (BNN). These collaborations have contributed to the development of a resilient social ecosystem capable of withstanding narcotic-related threats. </w:t>
      </w:r>
      <w:proofErr w:type="spellStart"/>
      <w:r w:rsidRPr="009B48B5">
        <w:rPr>
          <w:rFonts w:ascii="Arial" w:eastAsia="Arial" w:hAnsi="Arial" w:cs="Arial"/>
          <w:bCs/>
          <w:color w:val="000000"/>
          <w:sz w:val="20"/>
          <w:szCs w:val="20"/>
          <w:lang w:val="en-ID"/>
        </w:rPr>
        <w:t>Bhabinkamtibmas</w:t>
      </w:r>
      <w:proofErr w:type="spellEnd"/>
      <w:r w:rsidRPr="009B48B5">
        <w:rPr>
          <w:rFonts w:ascii="Arial" w:eastAsia="Arial" w:hAnsi="Arial" w:cs="Arial"/>
          <w:bCs/>
          <w:color w:val="000000"/>
          <w:sz w:val="20"/>
          <w:szCs w:val="20"/>
          <w:lang w:val="en-ID"/>
        </w:rPr>
        <w:t xml:space="preserve"> and </w:t>
      </w:r>
      <w:proofErr w:type="spellStart"/>
      <w:r w:rsidRPr="009B48B5">
        <w:rPr>
          <w:rFonts w:ascii="Arial" w:eastAsia="Arial" w:hAnsi="Arial" w:cs="Arial"/>
          <w:bCs/>
          <w:color w:val="000000"/>
          <w:sz w:val="20"/>
          <w:szCs w:val="20"/>
          <w:lang w:val="en-ID"/>
        </w:rPr>
        <w:t>Babinsa</w:t>
      </w:r>
      <w:proofErr w:type="spellEnd"/>
      <w:r w:rsidRPr="009B48B5">
        <w:rPr>
          <w:rFonts w:ascii="Arial" w:eastAsia="Arial" w:hAnsi="Arial" w:cs="Arial"/>
          <w:bCs/>
          <w:color w:val="000000"/>
          <w:sz w:val="20"/>
          <w:szCs w:val="20"/>
          <w:lang w:val="en-ID"/>
        </w:rPr>
        <w:t xml:space="preserve"> facilitate security efforts and promote bidirectional communication between state authorities and the local population. Religious leaders disseminate anti-drug messaging through religious services and community events, while the BNN provides essential training and resource support to strengthen the overall prevention framework.</w:t>
      </w:r>
    </w:p>
    <w:p w14:paraId="39ABBCE1" w14:textId="77777777" w:rsidR="00F8738E" w:rsidRPr="009B48B5" w:rsidRDefault="00F8738E" w:rsidP="009B48B5">
      <w:pPr>
        <w:pBdr>
          <w:top w:val="nil"/>
          <w:left w:val="nil"/>
          <w:bottom w:val="nil"/>
          <w:right w:val="nil"/>
          <w:between w:val="nil"/>
        </w:pBdr>
        <w:spacing w:after="0" w:line="480" w:lineRule="auto"/>
        <w:ind w:firstLine="709"/>
        <w:jc w:val="both"/>
        <w:rPr>
          <w:rFonts w:ascii="Arial" w:eastAsia="Arial" w:hAnsi="Arial" w:cs="Arial"/>
          <w:bCs/>
          <w:color w:val="000000"/>
          <w:sz w:val="20"/>
          <w:szCs w:val="20"/>
          <w:lang w:val="en-ID"/>
        </w:rPr>
      </w:pPr>
      <w:r w:rsidRPr="009B48B5">
        <w:rPr>
          <w:rFonts w:ascii="Arial" w:eastAsia="Arial" w:hAnsi="Arial" w:cs="Arial"/>
          <w:bCs/>
          <w:color w:val="000000"/>
          <w:sz w:val="20"/>
          <w:szCs w:val="20"/>
          <w:lang w:val="en-ID"/>
        </w:rPr>
        <w:t xml:space="preserve">An interview conducted with Sergeant </w:t>
      </w:r>
      <w:proofErr w:type="spellStart"/>
      <w:r w:rsidRPr="009B48B5">
        <w:rPr>
          <w:rFonts w:ascii="Arial" w:eastAsia="Arial" w:hAnsi="Arial" w:cs="Arial"/>
          <w:bCs/>
          <w:color w:val="000000"/>
          <w:sz w:val="20"/>
          <w:szCs w:val="20"/>
          <w:lang w:val="en-ID"/>
        </w:rPr>
        <w:t>Ahmada</w:t>
      </w:r>
      <w:proofErr w:type="spellEnd"/>
      <w:r w:rsidRPr="009B48B5">
        <w:rPr>
          <w:rFonts w:ascii="Arial" w:eastAsia="Arial" w:hAnsi="Arial" w:cs="Arial"/>
          <w:bCs/>
          <w:color w:val="000000"/>
          <w:sz w:val="20"/>
          <w:szCs w:val="20"/>
          <w:lang w:val="en-ID"/>
        </w:rPr>
        <w:t xml:space="preserve"> </w:t>
      </w:r>
      <w:proofErr w:type="spellStart"/>
      <w:r w:rsidRPr="009B48B5">
        <w:rPr>
          <w:rFonts w:ascii="Arial" w:eastAsia="Arial" w:hAnsi="Arial" w:cs="Arial"/>
          <w:bCs/>
          <w:color w:val="000000"/>
          <w:sz w:val="20"/>
          <w:szCs w:val="20"/>
          <w:lang w:val="en-ID"/>
        </w:rPr>
        <w:t>Zumadi</w:t>
      </w:r>
      <w:proofErr w:type="spellEnd"/>
      <w:r w:rsidRPr="009B48B5">
        <w:rPr>
          <w:rFonts w:ascii="Arial" w:eastAsia="Arial" w:hAnsi="Arial" w:cs="Arial"/>
          <w:bCs/>
          <w:color w:val="000000"/>
          <w:sz w:val="20"/>
          <w:szCs w:val="20"/>
          <w:lang w:val="en-ID"/>
        </w:rPr>
        <w:t>, the territorial military officer (</w:t>
      </w:r>
      <w:proofErr w:type="spellStart"/>
      <w:r w:rsidRPr="009B48B5">
        <w:rPr>
          <w:rFonts w:ascii="Arial" w:eastAsia="Arial" w:hAnsi="Arial" w:cs="Arial"/>
          <w:bCs/>
          <w:color w:val="000000"/>
          <w:sz w:val="20"/>
          <w:szCs w:val="20"/>
          <w:lang w:val="en-ID"/>
        </w:rPr>
        <w:t>Babinsa</w:t>
      </w:r>
      <w:proofErr w:type="spellEnd"/>
      <w:r w:rsidRPr="009B48B5">
        <w:rPr>
          <w:rFonts w:ascii="Arial" w:eastAsia="Arial" w:hAnsi="Arial" w:cs="Arial"/>
          <w:bCs/>
          <w:color w:val="000000"/>
          <w:sz w:val="20"/>
          <w:szCs w:val="20"/>
          <w:lang w:val="en-ID"/>
        </w:rPr>
        <w:t xml:space="preserve">) assigned to </w:t>
      </w:r>
      <w:proofErr w:type="spellStart"/>
      <w:r w:rsidRPr="009B48B5">
        <w:rPr>
          <w:rFonts w:ascii="Arial" w:eastAsia="Arial" w:hAnsi="Arial" w:cs="Arial"/>
          <w:bCs/>
          <w:color w:val="000000"/>
          <w:sz w:val="20"/>
          <w:szCs w:val="20"/>
          <w:lang w:val="en-ID"/>
        </w:rPr>
        <w:t>Sambinae</w:t>
      </w:r>
      <w:proofErr w:type="spellEnd"/>
      <w:r w:rsidRPr="009B48B5">
        <w:rPr>
          <w:rFonts w:ascii="Arial" w:eastAsia="Arial" w:hAnsi="Arial" w:cs="Arial"/>
          <w:bCs/>
          <w:color w:val="000000"/>
          <w:sz w:val="20"/>
          <w:szCs w:val="20"/>
          <w:lang w:val="en-ID"/>
        </w:rPr>
        <w:t xml:space="preserve">, underscores that inter-institutional coordination in the context of narcotics prevention transcends mere procedural compliance. Rather, it is regarded as a moral obligation aligned with broader national policy directives. The commitment to fostering a drug-free environment has evolved into a collective responsibility that engages stakeholders across all societal levels. To date, there have been no significant narcotics-related incidents reported in </w:t>
      </w:r>
      <w:proofErr w:type="spellStart"/>
      <w:r w:rsidRPr="009B48B5">
        <w:rPr>
          <w:rFonts w:ascii="Arial" w:eastAsia="Arial" w:hAnsi="Arial" w:cs="Arial"/>
          <w:bCs/>
          <w:color w:val="000000"/>
          <w:sz w:val="20"/>
          <w:szCs w:val="20"/>
          <w:lang w:val="en-ID"/>
        </w:rPr>
        <w:t>Sambinae</w:t>
      </w:r>
      <w:proofErr w:type="spellEnd"/>
      <w:r w:rsidRPr="009B48B5">
        <w:rPr>
          <w:rFonts w:ascii="Arial" w:eastAsia="Arial" w:hAnsi="Arial" w:cs="Arial"/>
          <w:bCs/>
          <w:color w:val="000000"/>
          <w:sz w:val="20"/>
          <w:szCs w:val="20"/>
          <w:lang w:val="en-ID"/>
        </w:rPr>
        <w:t xml:space="preserve">, reflecting the effective implementation and sustained impact of the subdistrict's preventive strategies. Efforts to combat narcotics abuse at the subdistrict level, particularly within </w:t>
      </w:r>
      <w:proofErr w:type="spellStart"/>
      <w:r w:rsidRPr="009B48B5">
        <w:rPr>
          <w:rFonts w:ascii="Arial" w:eastAsia="Arial" w:hAnsi="Arial" w:cs="Arial"/>
          <w:bCs/>
          <w:color w:val="000000"/>
          <w:sz w:val="20"/>
          <w:szCs w:val="20"/>
          <w:lang w:val="en-ID"/>
        </w:rPr>
        <w:t>Sambinae</w:t>
      </w:r>
      <w:proofErr w:type="spellEnd"/>
      <w:r w:rsidRPr="009B48B5">
        <w:rPr>
          <w:rFonts w:ascii="Arial" w:eastAsia="Arial" w:hAnsi="Arial" w:cs="Arial"/>
          <w:bCs/>
          <w:color w:val="000000"/>
          <w:sz w:val="20"/>
          <w:szCs w:val="20"/>
          <w:lang w:val="en-ID"/>
        </w:rPr>
        <w:t xml:space="preserve"> Urban Village, necessitate not only reactive interventions but also proactive, systematically embedded approaches. These strategies must integrate the optimal allocation of resources, the enforcement of robust legal mechanisms, and the implementation of comprehensive preventive policies. Collectively, these components are interdependent and indispensable for cultivating a resilient social environment capable of resisting the spread and misuse of narcotics.</w:t>
      </w:r>
    </w:p>
    <w:p w14:paraId="4BADDA05" w14:textId="77777777" w:rsidR="00F8738E" w:rsidRPr="009B48B5" w:rsidRDefault="00F8738E" w:rsidP="009B48B5">
      <w:pPr>
        <w:pBdr>
          <w:top w:val="nil"/>
          <w:left w:val="nil"/>
          <w:bottom w:val="nil"/>
          <w:right w:val="nil"/>
          <w:between w:val="nil"/>
        </w:pBdr>
        <w:spacing w:after="0" w:line="480" w:lineRule="auto"/>
        <w:ind w:firstLine="709"/>
        <w:jc w:val="both"/>
        <w:rPr>
          <w:rFonts w:ascii="Arial" w:eastAsia="Arial" w:hAnsi="Arial" w:cs="Arial"/>
          <w:bCs/>
          <w:color w:val="000000"/>
          <w:sz w:val="20"/>
          <w:szCs w:val="20"/>
          <w:lang w:val="en-ID"/>
        </w:rPr>
      </w:pPr>
      <w:r w:rsidRPr="009B48B5">
        <w:rPr>
          <w:rFonts w:ascii="Arial" w:eastAsia="Arial" w:hAnsi="Arial" w:cs="Arial"/>
          <w:bCs/>
          <w:color w:val="000000"/>
          <w:sz w:val="20"/>
          <w:szCs w:val="20"/>
          <w:lang w:val="en-ID"/>
        </w:rPr>
        <w:t xml:space="preserve">Among these elements, effective resource allocation holds primary importance. This encompasses the provision of adequate facilities, sufficient financial investment, and the deployment of competent personnel. Such resources constitute the foundational infrastructure necessary for the formulation and operationalization of anti-narcotics policies. The availability of </w:t>
      </w:r>
      <w:r w:rsidRPr="009B48B5">
        <w:rPr>
          <w:rFonts w:ascii="Arial" w:eastAsia="Arial" w:hAnsi="Arial" w:cs="Arial"/>
          <w:bCs/>
          <w:color w:val="000000"/>
          <w:sz w:val="20"/>
          <w:szCs w:val="20"/>
          <w:lang w:val="en-ID"/>
        </w:rPr>
        <w:lastRenderedPageBreak/>
        <w:t xml:space="preserve">dedicated facilities, including information </w:t>
      </w:r>
      <w:proofErr w:type="spellStart"/>
      <w:r w:rsidRPr="009B48B5">
        <w:rPr>
          <w:rFonts w:ascii="Arial" w:eastAsia="Arial" w:hAnsi="Arial" w:cs="Arial"/>
          <w:bCs/>
          <w:color w:val="000000"/>
          <w:sz w:val="20"/>
          <w:szCs w:val="20"/>
          <w:lang w:val="en-ID"/>
        </w:rPr>
        <w:t>centers</w:t>
      </w:r>
      <w:proofErr w:type="spellEnd"/>
      <w:r w:rsidRPr="009B48B5">
        <w:rPr>
          <w:rFonts w:ascii="Arial" w:eastAsia="Arial" w:hAnsi="Arial" w:cs="Arial"/>
          <w:bCs/>
          <w:color w:val="000000"/>
          <w:sz w:val="20"/>
          <w:szCs w:val="20"/>
          <w:lang w:val="en-ID"/>
        </w:rPr>
        <w:t>, training venues, and rehabilitation spaces, plays a pivotal role in facilitating educational initiatives, outreach activities, and recovery programs. In the absence of such infrastructure, prevention efforts risk becoming fragmented, lacking both sustainability and meaningful community engagement.</w:t>
      </w:r>
    </w:p>
    <w:p w14:paraId="64ED1EA7" w14:textId="77777777" w:rsidR="00F8738E" w:rsidRPr="009B48B5" w:rsidRDefault="00F8738E" w:rsidP="009B48B5">
      <w:pPr>
        <w:pBdr>
          <w:top w:val="nil"/>
          <w:left w:val="nil"/>
          <w:bottom w:val="nil"/>
          <w:right w:val="nil"/>
          <w:between w:val="nil"/>
        </w:pBdr>
        <w:spacing w:after="0" w:line="480" w:lineRule="auto"/>
        <w:ind w:firstLine="709"/>
        <w:jc w:val="both"/>
        <w:rPr>
          <w:rFonts w:ascii="Arial" w:eastAsia="Arial" w:hAnsi="Arial" w:cs="Arial"/>
          <w:bCs/>
          <w:color w:val="000000"/>
          <w:sz w:val="20"/>
          <w:szCs w:val="20"/>
          <w:lang w:val="en-ID"/>
        </w:rPr>
      </w:pPr>
      <w:r w:rsidRPr="009B48B5">
        <w:rPr>
          <w:rFonts w:ascii="Arial" w:eastAsia="Arial" w:hAnsi="Arial" w:cs="Arial"/>
          <w:bCs/>
          <w:color w:val="000000"/>
          <w:sz w:val="20"/>
          <w:szCs w:val="20"/>
          <w:lang w:val="en-ID"/>
        </w:rPr>
        <w:t>Furthermore, the allocation of proportional financial resources serves as a critical determinant of the overall viability of the preventive framework. Budgetary support is essential not only for the development of physical infrastructure and the logistical execution of awareness campaigns but also for ensuring the technical training of personnel, the dissemination of educational materials, and the operational capacity of field interventions. Insufficient funding inevitably compromises the effectiveness of prevention programs, reducing them to symbolic gestures with limited longevity.</w:t>
      </w:r>
    </w:p>
    <w:p w14:paraId="38849AE8" w14:textId="4A2FEAA3" w:rsidR="00F8738E" w:rsidRPr="009B48B5" w:rsidRDefault="00F8738E" w:rsidP="009B48B5">
      <w:pPr>
        <w:pBdr>
          <w:top w:val="nil"/>
          <w:left w:val="nil"/>
          <w:bottom w:val="nil"/>
          <w:right w:val="nil"/>
          <w:between w:val="nil"/>
        </w:pBdr>
        <w:spacing w:after="0" w:line="480" w:lineRule="auto"/>
        <w:ind w:firstLine="709"/>
        <w:jc w:val="both"/>
        <w:rPr>
          <w:rFonts w:ascii="Arial" w:eastAsia="Arial" w:hAnsi="Arial" w:cs="Arial"/>
          <w:bCs/>
          <w:color w:val="000000"/>
          <w:sz w:val="20"/>
          <w:szCs w:val="20"/>
          <w:lang w:val="en-ID"/>
        </w:rPr>
      </w:pPr>
      <w:r w:rsidRPr="009B48B5">
        <w:rPr>
          <w:rFonts w:ascii="Arial" w:eastAsia="Arial" w:hAnsi="Arial" w:cs="Arial"/>
          <w:bCs/>
          <w:color w:val="000000"/>
          <w:sz w:val="20"/>
          <w:szCs w:val="20"/>
          <w:lang w:val="en-ID"/>
        </w:rPr>
        <w:t>Equally significant is the availability of adequately trained personnel, which constitutes a non-negotiable requirement for the successful implementation of community-based preventive interventions. Professionals with specialized expertise</w:t>
      </w:r>
      <w:r w:rsidR="002E4C51" w:rsidRPr="009B48B5">
        <w:rPr>
          <w:rFonts w:ascii="Arial" w:eastAsia="Arial" w:hAnsi="Arial" w:cs="Arial"/>
          <w:bCs/>
          <w:color w:val="000000"/>
          <w:sz w:val="20"/>
          <w:szCs w:val="20"/>
          <w:lang w:val="en-ID"/>
        </w:rPr>
        <w:t xml:space="preserve">, </w:t>
      </w:r>
      <w:r w:rsidRPr="009B48B5">
        <w:rPr>
          <w:rFonts w:ascii="Arial" w:eastAsia="Arial" w:hAnsi="Arial" w:cs="Arial"/>
          <w:bCs/>
          <w:color w:val="000000"/>
          <w:sz w:val="20"/>
          <w:szCs w:val="20"/>
          <w:lang w:val="en-ID"/>
        </w:rPr>
        <w:t>including security personnel, healthcare providers, and educators</w:t>
      </w:r>
      <w:r w:rsidR="002E4C51" w:rsidRPr="009B48B5">
        <w:rPr>
          <w:rFonts w:ascii="Arial" w:eastAsia="Arial" w:hAnsi="Arial" w:cs="Arial"/>
          <w:bCs/>
          <w:color w:val="000000"/>
          <w:sz w:val="20"/>
          <w:szCs w:val="20"/>
          <w:lang w:val="en-ID"/>
        </w:rPr>
        <w:t xml:space="preserve">, </w:t>
      </w:r>
      <w:r w:rsidRPr="009B48B5">
        <w:rPr>
          <w:rFonts w:ascii="Arial" w:eastAsia="Arial" w:hAnsi="Arial" w:cs="Arial"/>
          <w:bCs/>
          <w:color w:val="000000"/>
          <w:sz w:val="20"/>
          <w:szCs w:val="20"/>
          <w:lang w:val="en-ID"/>
        </w:rPr>
        <w:t>who possess a comprehensive understanding of the multidimensional nature of narcotics abuse are better positioned to fulfil their roles in an adaptive, context-sensitive manner. These individuals serve not only as technical operatives but also as agents of social change, facilitating early detection, prompt intervention, and targeted rehabilitative assistance.</w:t>
      </w:r>
    </w:p>
    <w:p w14:paraId="6955AF5F" w14:textId="77777777" w:rsidR="00F8738E" w:rsidRPr="009B48B5" w:rsidRDefault="00F8738E" w:rsidP="009B48B5">
      <w:pPr>
        <w:pBdr>
          <w:top w:val="nil"/>
          <w:left w:val="nil"/>
          <w:bottom w:val="nil"/>
          <w:right w:val="nil"/>
          <w:between w:val="nil"/>
        </w:pBdr>
        <w:spacing w:after="0" w:line="480" w:lineRule="auto"/>
        <w:ind w:firstLine="709"/>
        <w:jc w:val="both"/>
        <w:rPr>
          <w:rFonts w:ascii="Arial" w:eastAsia="Arial" w:hAnsi="Arial" w:cs="Arial"/>
          <w:bCs/>
          <w:color w:val="000000"/>
          <w:sz w:val="20"/>
          <w:szCs w:val="20"/>
          <w:lang w:val="en-ID"/>
        </w:rPr>
      </w:pPr>
      <w:r w:rsidRPr="009B48B5">
        <w:rPr>
          <w:rFonts w:ascii="Arial" w:eastAsia="Arial" w:hAnsi="Arial" w:cs="Arial"/>
          <w:bCs/>
          <w:color w:val="000000"/>
          <w:sz w:val="20"/>
          <w:szCs w:val="20"/>
          <w:lang w:val="en-ID"/>
        </w:rPr>
        <w:t xml:space="preserve">Nevertheless, empirical evidence indicates that </w:t>
      </w:r>
      <w:proofErr w:type="spellStart"/>
      <w:r w:rsidRPr="009B48B5">
        <w:rPr>
          <w:rFonts w:ascii="Arial" w:eastAsia="Arial" w:hAnsi="Arial" w:cs="Arial"/>
          <w:bCs/>
          <w:color w:val="000000"/>
          <w:sz w:val="20"/>
          <w:szCs w:val="20"/>
          <w:lang w:val="en-ID"/>
        </w:rPr>
        <w:t>Sambinae</w:t>
      </w:r>
      <w:proofErr w:type="spellEnd"/>
      <w:r w:rsidRPr="009B48B5">
        <w:rPr>
          <w:rFonts w:ascii="Arial" w:eastAsia="Arial" w:hAnsi="Arial" w:cs="Arial"/>
          <w:bCs/>
          <w:color w:val="000000"/>
          <w:sz w:val="20"/>
          <w:szCs w:val="20"/>
          <w:lang w:val="en-ID"/>
        </w:rPr>
        <w:t xml:space="preserve"> Urban Village continues to confront several structural limitations that hinder the full realization of a comprehensive prevention strategy. Chief among these challenges is the shortage of qualified human resources, which significantly restricts the scope and effectiveness of educational and outreach initiatives. The limited number of technical personnel constrains the depth and reach of programs aimed at fostering </w:t>
      </w:r>
      <w:proofErr w:type="spellStart"/>
      <w:r w:rsidRPr="009B48B5">
        <w:rPr>
          <w:rFonts w:ascii="Arial" w:eastAsia="Arial" w:hAnsi="Arial" w:cs="Arial"/>
          <w:bCs/>
          <w:color w:val="000000"/>
          <w:sz w:val="20"/>
          <w:szCs w:val="20"/>
          <w:lang w:val="en-ID"/>
        </w:rPr>
        <w:t>behavioral</w:t>
      </w:r>
      <w:proofErr w:type="spellEnd"/>
      <w:r w:rsidRPr="009B48B5">
        <w:rPr>
          <w:rFonts w:ascii="Arial" w:eastAsia="Arial" w:hAnsi="Arial" w:cs="Arial"/>
          <w:bCs/>
          <w:color w:val="000000"/>
          <w:sz w:val="20"/>
          <w:szCs w:val="20"/>
          <w:lang w:val="en-ID"/>
        </w:rPr>
        <w:t xml:space="preserve"> transformation within the community. In addition, the subdistrict's expansive geographic area and the relative inaccessibility of certain locations present logistical barriers that complicate the efficient distribution and coordination of essential resources</w:t>
      </w:r>
    </w:p>
    <w:p w14:paraId="6B041807" w14:textId="77777777" w:rsidR="00F8738E" w:rsidRPr="009B48B5" w:rsidRDefault="00F8738E" w:rsidP="009B48B5">
      <w:pPr>
        <w:pBdr>
          <w:top w:val="nil"/>
          <w:left w:val="nil"/>
          <w:bottom w:val="nil"/>
          <w:right w:val="nil"/>
          <w:between w:val="nil"/>
        </w:pBdr>
        <w:spacing w:after="0" w:line="480" w:lineRule="auto"/>
        <w:ind w:firstLine="709"/>
        <w:jc w:val="both"/>
        <w:rPr>
          <w:rFonts w:ascii="Arial" w:eastAsia="Arial" w:hAnsi="Arial" w:cs="Arial"/>
          <w:bCs/>
          <w:color w:val="000000"/>
          <w:sz w:val="20"/>
          <w:szCs w:val="20"/>
          <w:lang w:val="en-ID"/>
        </w:rPr>
      </w:pPr>
      <w:r w:rsidRPr="009B48B5">
        <w:rPr>
          <w:rFonts w:ascii="Arial" w:eastAsia="Arial" w:hAnsi="Arial" w:cs="Arial"/>
          <w:bCs/>
          <w:color w:val="000000"/>
          <w:sz w:val="20"/>
          <w:szCs w:val="20"/>
          <w:lang w:val="en-ID"/>
        </w:rPr>
        <w:t xml:space="preserve">Moreover, the degree of community participation in narcotics prevention initiatives within </w:t>
      </w:r>
      <w:proofErr w:type="spellStart"/>
      <w:r w:rsidRPr="009B48B5">
        <w:rPr>
          <w:rFonts w:ascii="Arial" w:eastAsia="Arial" w:hAnsi="Arial" w:cs="Arial"/>
          <w:bCs/>
          <w:color w:val="000000"/>
          <w:sz w:val="20"/>
          <w:szCs w:val="20"/>
          <w:lang w:val="en-ID"/>
        </w:rPr>
        <w:t>Sambinae</w:t>
      </w:r>
      <w:proofErr w:type="spellEnd"/>
      <w:r w:rsidRPr="009B48B5">
        <w:rPr>
          <w:rFonts w:ascii="Arial" w:eastAsia="Arial" w:hAnsi="Arial" w:cs="Arial"/>
          <w:bCs/>
          <w:color w:val="000000"/>
          <w:sz w:val="20"/>
          <w:szCs w:val="20"/>
          <w:lang w:val="en-ID"/>
        </w:rPr>
        <w:t xml:space="preserve"> Urban Village remains a significant challenge, frequently constrained by the politicization of such programs. As articulated by </w:t>
      </w:r>
      <w:proofErr w:type="spellStart"/>
      <w:r w:rsidRPr="009B48B5">
        <w:rPr>
          <w:rFonts w:ascii="Arial" w:eastAsia="Arial" w:hAnsi="Arial" w:cs="Arial"/>
          <w:bCs/>
          <w:color w:val="000000"/>
          <w:sz w:val="20"/>
          <w:szCs w:val="20"/>
          <w:lang w:val="en-ID"/>
        </w:rPr>
        <w:t>Drs.</w:t>
      </w:r>
      <w:proofErr w:type="spellEnd"/>
      <w:r w:rsidRPr="009B48B5">
        <w:rPr>
          <w:rFonts w:ascii="Arial" w:eastAsia="Arial" w:hAnsi="Arial" w:cs="Arial"/>
          <w:bCs/>
          <w:color w:val="000000"/>
          <w:sz w:val="20"/>
          <w:szCs w:val="20"/>
          <w:lang w:val="en-ID"/>
        </w:rPr>
        <w:t xml:space="preserve"> </w:t>
      </w:r>
      <w:proofErr w:type="spellStart"/>
      <w:r w:rsidRPr="009B48B5">
        <w:rPr>
          <w:rFonts w:ascii="Arial" w:eastAsia="Arial" w:hAnsi="Arial" w:cs="Arial"/>
          <w:bCs/>
          <w:color w:val="000000"/>
          <w:sz w:val="20"/>
          <w:szCs w:val="20"/>
          <w:lang w:val="en-ID"/>
        </w:rPr>
        <w:t>Amiruddin</w:t>
      </w:r>
      <w:proofErr w:type="spellEnd"/>
      <w:r w:rsidRPr="009B48B5">
        <w:rPr>
          <w:rFonts w:ascii="Arial" w:eastAsia="Arial" w:hAnsi="Arial" w:cs="Arial"/>
          <w:bCs/>
          <w:color w:val="000000"/>
          <w:sz w:val="20"/>
          <w:szCs w:val="20"/>
          <w:lang w:val="en-ID"/>
        </w:rPr>
        <w:t xml:space="preserve">, SE, the head of </w:t>
      </w:r>
      <w:proofErr w:type="spellStart"/>
      <w:r w:rsidRPr="009B48B5">
        <w:rPr>
          <w:rFonts w:ascii="Arial" w:eastAsia="Arial" w:hAnsi="Arial" w:cs="Arial"/>
          <w:bCs/>
          <w:color w:val="000000"/>
          <w:sz w:val="20"/>
          <w:szCs w:val="20"/>
          <w:lang w:val="en-ID"/>
        </w:rPr>
        <w:t>Sambinae</w:t>
      </w:r>
      <w:proofErr w:type="spellEnd"/>
      <w:r w:rsidRPr="009B48B5">
        <w:rPr>
          <w:rFonts w:ascii="Arial" w:eastAsia="Arial" w:hAnsi="Arial" w:cs="Arial"/>
          <w:bCs/>
          <w:color w:val="000000"/>
          <w:sz w:val="20"/>
          <w:szCs w:val="20"/>
          <w:lang w:val="en-ID"/>
        </w:rPr>
        <w:t xml:space="preserve"> </w:t>
      </w:r>
      <w:r w:rsidRPr="009B48B5">
        <w:rPr>
          <w:rFonts w:ascii="Arial" w:eastAsia="Arial" w:hAnsi="Arial" w:cs="Arial"/>
          <w:bCs/>
          <w:color w:val="000000"/>
          <w:sz w:val="20"/>
          <w:szCs w:val="20"/>
          <w:lang w:val="en-ID"/>
        </w:rPr>
        <w:lastRenderedPageBreak/>
        <w:t>Urban Village, during an interview conducted on 1 July 2024, public engagement is often suboptimal due to widespread perceptions that anti-narcotics initiatives serve political interests rather than addressing the substantive needs of the community. This prevailing sense of apathy directly undermines civic involvement, despite the reality that community members themselves are the primary beneficiaries who stand to gain most from effective prevention measures.</w:t>
      </w:r>
    </w:p>
    <w:p w14:paraId="3634D378" w14:textId="77777777" w:rsidR="00F8738E" w:rsidRPr="009B48B5" w:rsidRDefault="00F8738E" w:rsidP="009B48B5">
      <w:pPr>
        <w:pBdr>
          <w:top w:val="nil"/>
          <w:left w:val="nil"/>
          <w:bottom w:val="nil"/>
          <w:right w:val="nil"/>
          <w:between w:val="nil"/>
        </w:pBdr>
        <w:spacing w:after="0" w:line="480" w:lineRule="auto"/>
        <w:ind w:firstLine="709"/>
        <w:jc w:val="both"/>
        <w:rPr>
          <w:rFonts w:ascii="Arial" w:eastAsia="Arial" w:hAnsi="Arial" w:cs="Arial"/>
          <w:bCs/>
          <w:color w:val="000000"/>
          <w:sz w:val="20"/>
          <w:szCs w:val="20"/>
          <w:lang w:val="en-ID"/>
        </w:rPr>
      </w:pPr>
      <w:r w:rsidRPr="009B48B5">
        <w:rPr>
          <w:rFonts w:ascii="Arial" w:eastAsia="Arial" w:hAnsi="Arial" w:cs="Arial"/>
          <w:bCs/>
          <w:color w:val="000000"/>
          <w:sz w:val="20"/>
          <w:szCs w:val="20"/>
          <w:lang w:val="en-ID"/>
        </w:rPr>
        <w:t>Within this context, the strengthening of legal enforcement and regulatory mechanisms emerges as not merely a procedural requirement but a strategic necessity in the broader pursuit of social resilience. Although Law No. 35 of 2009 on Narcotics provides a comprehensive and robust legal framework to address narcotics-related offenses, its full transformative potential remains significantly inhibited by the limited legal awareness prevalent among the general population. Deficiencies in legal culture, characterized by insufficient legal literacy and the absence of sustained, structured educational campaigns, continue to obstruct the internalization of legal norms. As a result, many community members remain ill-equipped to comprehend the complex, multidimensional consequences of narcotics abuse, which extend beyond health risks to encompass social instability and legal ramifications.</w:t>
      </w:r>
    </w:p>
    <w:p w14:paraId="3B933EBA" w14:textId="77777777" w:rsidR="00F8738E" w:rsidRPr="009B48B5" w:rsidRDefault="00F8738E" w:rsidP="009B48B5">
      <w:pPr>
        <w:pBdr>
          <w:top w:val="nil"/>
          <w:left w:val="nil"/>
          <w:bottom w:val="nil"/>
          <w:right w:val="nil"/>
          <w:between w:val="nil"/>
        </w:pBdr>
        <w:spacing w:after="0" w:line="480" w:lineRule="auto"/>
        <w:ind w:firstLine="709"/>
        <w:jc w:val="both"/>
        <w:rPr>
          <w:rFonts w:ascii="Arial" w:eastAsia="Arial" w:hAnsi="Arial" w:cs="Arial"/>
          <w:bCs/>
          <w:color w:val="000000"/>
          <w:sz w:val="20"/>
          <w:szCs w:val="20"/>
          <w:lang w:val="en-ID"/>
        </w:rPr>
      </w:pPr>
      <w:r w:rsidRPr="009B48B5">
        <w:rPr>
          <w:rFonts w:ascii="Arial" w:eastAsia="Arial" w:hAnsi="Arial" w:cs="Arial"/>
          <w:bCs/>
          <w:color w:val="000000"/>
          <w:sz w:val="20"/>
          <w:szCs w:val="20"/>
          <w:lang w:val="en-ID"/>
        </w:rPr>
        <w:t>Addressing these limitations requires the establishment of continuous, systematic, and dialogic legal education initiatives. Such efforts must be firmly embedded within the local socio-cultural context, mobilizing influential grassroots actors, including village officials, religious leaders, community figures, and environmental cadres. The objective of these initiatives extends beyond the dissemination of statutory information; they must translate abstract legal principles into tangible, actionable knowledge that reflects the lived experiences and realities of the community. In doing so, the law is transformed from a distant, formal construct into a participatory mechanism for collective protection against emerging social vulnerabilities.</w:t>
      </w:r>
    </w:p>
    <w:p w14:paraId="7ADC8E9F" w14:textId="77777777" w:rsidR="00F8738E" w:rsidRPr="009B48B5" w:rsidRDefault="00F8738E" w:rsidP="009B48B5">
      <w:pPr>
        <w:pBdr>
          <w:top w:val="nil"/>
          <w:left w:val="nil"/>
          <w:bottom w:val="nil"/>
          <w:right w:val="nil"/>
          <w:between w:val="nil"/>
        </w:pBdr>
        <w:spacing w:after="0" w:line="480" w:lineRule="auto"/>
        <w:ind w:firstLine="709"/>
        <w:jc w:val="both"/>
        <w:rPr>
          <w:rFonts w:ascii="Arial" w:eastAsia="Arial" w:hAnsi="Arial" w:cs="Arial"/>
          <w:bCs/>
          <w:color w:val="000000"/>
          <w:sz w:val="20"/>
          <w:szCs w:val="20"/>
          <w:lang w:val="en-ID"/>
        </w:rPr>
      </w:pPr>
      <w:r w:rsidRPr="009B48B5">
        <w:rPr>
          <w:rFonts w:ascii="Arial" w:eastAsia="Arial" w:hAnsi="Arial" w:cs="Arial"/>
          <w:bCs/>
          <w:color w:val="000000"/>
          <w:sz w:val="20"/>
          <w:szCs w:val="20"/>
          <w:lang w:val="en-ID"/>
        </w:rPr>
        <w:t xml:space="preserve">Simultaneously, the increasingly decentralized distribution of narcotics, which now extends beyond urban </w:t>
      </w:r>
      <w:proofErr w:type="spellStart"/>
      <w:r w:rsidRPr="009B48B5">
        <w:rPr>
          <w:rFonts w:ascii="Arial" w:eastAsia="Arial" w:hAnsi="Arial" w:cs="Arial"/>
          <w:bCs/>
          <w:color w:val="000000"/>
          <w:sz w:val="20"/>
          <w:szCs w:val="20"/>
          <w:lang w:val="en-ID"/>
        </w:rPr>
        <w:t>centers</w:t>
      </w:r>
      <w:proofErr w:type="spellEnd"/>
      <w:r w:rsidRPr="009B48B5">
        <w:rPr>
          <w:rFonts w:ascii="Arial" w:eastAsia="Arial" w:hAnsi="Arial" w:cs="Arial"/>
          <w:bCs/>
          <w:color w:val="000000"/>
          <w:sz w:val="20"/>
          <w:szCs w:val="20"/>
          <w:lang w:val="en-ID"/>
        </w:rPr>
        <w:t xml:space="preserve"> into rural and peri-urban areas, underscores the necessity for adaptive, integrative, and anticipatory policy responses. These policies must adopt a multisectoral approach, synthesizing legal, socio-economic, and cultural dimensions to ensure their relevance and effectiveness. In the specific context of </w:t>
      </w:r>
      <w:proofErr w:type="spellStart"/>
      <w:r w:rsidRPr="009B48B5">
        <w:rPr>
          <w:rFonts w:ascii="Arial" w:eastAsia="Arial" w:hAnsi="Arial" w:cs="Arial"/>
          <w:bCs/>
          <w:color w:val="000000"/>
          <w:sz w:val="20"/>
          <w:szCs w:val="20"/>
          <w:lang w:val="en-ID"/>
        </w:rPr>
        <w:t>Sambinae</w:t>
      </w:r>
      <w:proofErr w:type="spellEnd"/>
      <w:r w:rsidRPr="009B48B5">
        <w:rPr>
          <w:rFonts w:ascii="Arial" w:eastAsia="Arial" w:hAnsi="Arial" w:cs="Arial"/>
          <w:bCs/>
          <w:color w:val="000000"/>
          <w:sz w:val="20"/>
          <w:szCs w:val="20"/>
          <w:lang w:val="en-ID"/>
        </w:rPr>
        <w:t xml:space="preserve"> Urban Village, where demographic </w:t>
      </w:r>
      <w:r w:rsidRPr="009B48B5">
        <w:rPr>
          <w:rFonts w:ascii="Arial" w:eastAsia="Arial" w:hAnsi="Arial" w:cs="Arial"/>
          <w:bCs/>
          <w:color w:val="000000"/>
          <w:sz w:val="20"/>
          <w:szCs w:val="20"/>
          <w:lang w:val="en-ID"/>
        </w:rPr>
        <w:lastRenderedPageBreak/>
        <w:t>diversity, disparities in literacy, and asymmetrical civic engagement prevail, such factors significantly influence both risk perceptions and the operational success of intervention strategies.</w:t>
      </w:r>
    </w:p>
    <w:p w14:paraId="2BADE79D" w14:textId="581A0FCA" w:rsidR="00477917" w:rsidRPr="009B48B5" w:rsidRDefault="00F8738E" w:rsidP="009B48B5">
      <w:pPr>
        <w:pBdr>
          <w:top w:val="nil"/>
          <w:left w:val="nil"/>
          <w:bottom w:val="nil"/>
          <w:right w:val="nil"/>
          <w:between w:val="nil"/>
        </w:pBdr>
        <w:spacing w:after="0" w:line="480" w:lineRule="auto"/>
        <w:ind w:firstLine="709"/>
        <w:jc w:val="both"/>
        <w:rPr>
          <w:rFonts w:ascii="Arial" w:eastAsia="Arial" w:hAnsi="Arial" w:cs="Arial"/>
          <w:bCs/>
          <w:color w:val="000000"/>
          <w:sz w:val="20"/>
          <w:szCs w:val="20"/>
          <w:lang w:val="en-ID"/>
        </w:rPr>
      </w:pPr>
      <w:r w:rsidRPr="009B48B5">
        <w:rPr>
          <w:rFonts w:ascii="Arial" w:eastAsia="Arial" w:hAnsi="Arial" w:cs="Arial"/>
          <w:bCs/>
          <w:color w:val="000000"/>
          <w:sz w:val="20"/>
          <w:szCs w:val="20"/>
          <w:lang w:val="en-ID"/>
        </w:rPr>
        <w:t xml:space="preserve">Accordingly, the long-term success of anti-narcotics efforts in </w:t>
      </w:r>
      <w:proofErr w:type="spellStart"/>
      <w:r w:rsidRPr="009B48B5">
        <w:rPr>
          <w:rFonts w:ascii="Arial" w:eastAsia="Arial" w:hAnsi="Arial" w:cs="Arial"/>
          <w:bCs/>
          <w:color w:val="000000"/>
          <w:sz w:val="20"/>
          <w:szCs w:val="20"/>
          <w:lang w:val="en-ID"/>
        </w:rPr>
        <w:t>Sambinae</w:t>
      </w:r>
      <w:proofErr w:type="spellEnd"/>
      <w:r w:rsidRPr="009B48B5">
        <w:rPr>
          <w:rFonts w:ascii="Arial" w:eastAsia="Arial" w:hAnsi="Arial" w:cs="Arial"/>
          <w:bCs/>
          <w:color w:val="000000"/>
          <w:sz w:val="20"/>
          <w:szCs w:val="20"/>
          <w:lang w:val="en-ID"/>
        </w:rPr>
        <w:t xml:space="preserve"> is contingent upon the realization of a triadic synergy consisting of the strategic allocation of resources, the uncompromising enforcement of legal frameworks, and the systematic cultivation of legal culture through inclusive, thematic, and participatory educational initiatives. The creation of a drug-free civic environment is not merely a policy aspiration but an enduring social commitment that necessitates cohesive, sustained collaboration among governmental institutions, civil society actors, and the community at large. </w:t>
      </w:r>
    </w:p>
    <w:p w14:paraId="1629D147" w14:textId="77777777" w:rsidR="009B48B5" w:rsidRDefault="00865471" w:rsidP="009B48B5">
      <w:pPr>
        <w:pBdr>
          <w:top w:val="nil"/>
          <w:left w:val="nil"/>
          <w:bottom w:val="nil"/>
          <w:right w:val="nil"/>
          <w:between w:val="nil"/>
        </w:pBdr>
        <w:spacing w:after="0" w:line="480" w:lineRule="auto"/>
        <w:jc w:val="both"/>
        <w:rPr>
          <w:rFonts w:ascii="Arial" w:eastAsia="Arial" w:hAnsi="Arial" w:cs="Arial"/>
          <w:bCs/>
          <w:color w:val="000000"/>
          <w:sz w:val="20"/>
          <w:szCs w:val="20"/>
          <w:lang w:val="en-ID"/>
        </w:rPr>
      </w:pPr>
      <w:r w:rsidRPr="009B48B5">
        <w:rPr>
          <w:rFonts w:ascii="Arial" w:eastAsia="Arial" w:hAnsi="Arial" w:cs="Arial"/>
          <w:bCs/>
          <w:color w:val="000000"/>
          <w:sz w:val="20"/>
          <w:szCs w:val="20"/>
          <w:lang w:val="en-ID"/>
        </w:rPr>
        <w:t xml:space="preserve">          </w:t>
      </w:r>
    </w:p>
    <w:p w14:paraId="723CA72B" w14:textId="4AD1B82C" w:rsidR="00865471" w:rsidRPr="009B48B5" w:rsidRDefault="009B48B5" w:rsidP="009B48B5">
      <w:pPr>
        <w:pBdr>
          <w:top w:val="nil"/>
          <w:left w:val="nil"/>
          <w:bottom w:val="nil"/>
          <w:right w:val="nil"/>
          <w:between w:val="nil"/>
        </w:pBdr>
        <w:spacing w:after="0" w:line="480" w:lineRule="auto"/>
        <w:jc w:val="both"/>
        <w:rPr>
          <w:rFonts w:ascii="Arial" w:eastAsia="Arial" w:hAnsi="Arial" w:cs="Arial"/>
          <w:bCs/>
          <w:color w:val="000000"/>
          <w:sz w:val="20"/>
          <w:szCs w:val="20"/>
          <w:lang w:val="en-ID"/>
        </w:rPr>
      </w:pPr>
      <w:r w:rsidRPr="009B48B5">
        <w:rPr>
          <w:rFonts w:ascii="Arial" w:eastAsia="Arial" w:hAnsi="Arial" w:cs="Arial"/>
          <w:b/>
          <w:color w:val="000000"/>
          <w:sz w:val="20"/>
          <w:szCs w:val="20"/>
          <w:lang w:val="en-ID"/>
        </w:rPr>
        <w:t xml:space="preserve">2.2 </w:t>
      </w:r>
      <w:r w:rsidR="0001197A" w:rsidRPr="009B48B5">
        <w:rPr>
          <w:rFonts w:ascii="Arial" w:eastAsia="Arial" w:hAnsi="Arial" w:cs="Arial"/>
          <w:b/>
          <w:color w:val="000000"/>
          <w:sz w:val="20"/>
          <w:szCs w:val="20"/>
        </w:rPr>
        <w:t>The active engagement of the community</w:t>
      </w:r>
    </w:p>
    <w:p w14:paraId="6412836C" w14:textId="77777777" w:rsidR="002E4C51" w:rsidRPr="009B48B5" w:rsidRDefault="002E4C51" w:rsidP="009B48B5">
      <w:pPr>
        <w:pBdr>
          <w:top w:val="nil"/>
          <w:left w:val="nil"/>
          <w:bottom w:val="nil"/>
          <w:right w:val="nil"/>
          <w:between w:val="nil"/>
        </w:pBdr>
        <w:spacing w:after="0" w:line="480" w:lineRule="auto"/>
        <w:ind w:firstLine="567"/>
        <w:jc w:val="both"/>
        <w:rPr>
          <w:rFonts w:ascii="Arial" w:eastAsia="Arial" w:hAnsi="Arial" w:cs="Arial"/>
          <w:sz w:val="20"/>
          <w:szCs w:val="20"/>
          <w:lang w:val="en-ID"/>
        </w:rPr>
      </w:pPr>
      <w:r w:rsidRPr="009B48B5">
        <w:rPr>
          <w:rFonts w:ascii="Arial" w:eastAsia="Arial" w:hAnsi="Arial" w:cs="Arial"/>
          <w:sz w:val="20"/>
          <w:szCs w:val="20"/>
          <w:lang w:val="en-ID"/>
        </w:rPr>
        <w:t>The active participation of the community represents a critical strategic element in the development of an effective drug control framework. As the social unit most directly exposed to the challenges posed by drug trafficking, the community assumes a pivotal role as the primary mechanism for the early detection, reporting, and prevention of drug-related offenses. Heightened public awareness contributes to the establishment of a robust moral and social foundation, which facilitates collective efforts to confront the threat of drug abuse, while simultaneously enhancing the community's capacity to identify and respond to activities that undermine social cohesion.</w:t>
      </w:r>
    </w:p>
    <w:p w14:paraId="24A02A4E" w14:textId="77777777" w:rsidR="002E4C51" w:rsidRPr="009B48B5" w:rsidRDefault="002E4C51" w:rsidP="009B48B5">
      <w:pPr>
        <w:pBdr>
          <w:top w:val="nil"/>
          <w:left w:val="nil"/>
          <w:bottom w:val="nil"/>
          <w:right w:val="nil"/>
          <w:between w:val="nil"/>
        </w:pBdr>
        <w:spacing w:after="0" w:line="480" w:lineRule="auto"/>
        <w:ind w:firstLine="567"/>
        <w:jc w:val="both"/>
        <w:rPr>
          <w:rFonts w:ascii="Arial" w:eastAsia="Arial" w:hAnsi="Arial" w:cs="Arial"/>
          <w:sz w:val="20"/>
          <w:szCs w:val="20"/>
          <w:lang w:val="en-ID"/>
        </w:rPr>
      </w:pPr>
      <w:r w:rsidRPr="009B48B5">
        <w:rPr>
          <w:rFonts w:ascii="Arial" w:eastAsia="Arial" w:hAnsi="Arial" w:cs="Arial"/>
          <w:sz w:val="20"/>
          <w:szCs w:val="20"/>
          <w:lang w:val="en-ID"/>
        </w:rPr>
        <w:t>Community engagement extends beyond mere awareness and is manifested through tangible involvement in various preventive initiatives, including public education campaigns, health promotion activities, and the establishment of peer support groups. These collective efforts contribute to the formation of social norms that categorically reject drug use and trafficking. Furthermore, such engagement functions not only as a vehicle for mass education but also as a forum for social interaction, thereby reinforcing communal solidarity and fostering mutual support, particularly among individuals at heightened risk of drug abuse.</w:t>
      </w:r>
    </w:p>
    <w:p w14:paraId="363FB95A" w14:textId="77777777" w:rsidR="002E4C51" w:rsidRPr="009B48B5" w:rsidRDefault="002E4C51" w:rsidP="009B48B5">
      <w:pPr>
        <w:pBdr>
          <w:top w:val="nil"/>
          <w:left w:val="nil"/>
          <w:bottom w:val="nil"/>
          <w:right w:val="nil"/>
          <w:between w:val="nil"/>
        </w:pBdr>
        <w:spacing w:after="0" w:line="480" w:lineRule="auto"/>
        <w:ind w:firstLine="567"/>
        <w:jc w:val="both"/>
        <w:rPr>
          <w:rFonts w:ascii="Arial" w:eastAsia="Arial" w:hAnsi="Arial" w:cs="Arial"/>
          <w:sz w:val="20"/>
          <w:szCs w:val="20"/>
          <w:lang w:val="en-ID"/>
        </w:rPr>
      </w:pPr>
      <w:r w:rsidRPr="009B48B5">
        <w:rPr>
          <w:rFonts w:ascii="Arial" w:eastAsia="Arial" w:hAnsi="Arial" w:cs="Arial"/>
          <w:sz w:val="20"/>
          <w:szCs w:val="20"/>
          <w:lang w:val="en-ID"/>
        </w:rPr>
        <w:t xml:space="preserve">Within the specific context of </w:t>
      </w:r>
      <w:proofErr w:type="spellStart"/>
      <w:r w:rsidRPr="009B48B5">
        <w:rPr>
          <w:rFonts w:ascii="Arial" w:eastAsia="Arial" w:hAnsi="Arial" w:cs="Arial"/>
          <w:sz w:val="20"/>
          <w:szCs w:val="20"/>
          <w:lang w:val="en-ID"/>
        </w:rPr>
        <w:t>Kelurahan</w:t>
      </w:r>
      <w:proofErr w:type="spellEnd"/>
      <w:r w:rsidRPr="009B48B5">
        <w:rPr>
          <w:rFonts w:ascii="Arial" w:eastAsia="Arial" w:hAnsi="Arial" w:cs="Arial"/>
          <w:sz w:val="20"/>
          <w:szCs w:val="20"/>
          <w:lang w:val="en-ID"/>
        </w:rPr>
        <w:t xml:space="preserve"> </w:t>
      </w:r>
      <w:proofErr w:type="spellStart"/>
      <w:r w:rsidRPr="009B48B5">
        <w:rPr>
          <w:rFonts w:ascii="Arial" w:eastAsia="Arial" w:hAnsi="Arial" w:cs="Arial"/>
          <w:sz w:val="20"/>
          <w:szCs w:val="20"/>
          <w:lang w:val="en-ID"/>
        </w:rPr>
        <w:t>Sambinae</w:t>
      </w:r>
      <w:proofErr w:type="spellEnd"/>
      <w:r w:rsidRPr="009B48B5">
        <w:rPr>
          <w:rFonts w:ascii="Arial" w:eastAsia="Arial" w:hAnsi="Arial" w:cs="Arial"/>
          <w:sz w:val="20"/>
          <w:szCs w:val="20"/>
          <w:lang w:val="en-ID"/>
        </w:rPr>
        <w:t xml:space="preserve">, the advancement of informal educational initiatives constitutes a vital strategy in the effort to counter drug trafficking. The incorporation of character education, facilitated by educators and religious leaders, serves a crucial function in cultivating deep-seated awareness of the dangers associated with drug use. </w:t>
      </w:r>
      <w:r w:rsidRPr="009B48B5">
        <w:rPr>
          <w:rFonts w:ascii="Arial" w:eastAsia="Arial" w:hAnsi="Arial" w:cs="Arial"/>
          <w:sz w:val="20"/>
          <w:szCs w:val="20"/>
          <w:lang w:val="en-ID"/>
        </w:rPr>
        <w:lastRenderedPageBreak/>
        <w:t xml:space="preserve">This approach transcends the mere dissemination of information, aiming instead to </w:t>
      </w:r>
      <w:proofErr w:type="spellStart"/>
      <w:r w:rsidRPr="009B48B5">
        <w:rPr>
          <w:rFonts w:ascii="Arial" w:eastAsia="Arial" w:hAnsi="Arial" w:cs="Arial"/>
          <w:sz w:val="20"/>
          <w:szCs w:val="20"/>
          <w:lang w:val="en-ID"/>
        </w:rPr>
        <w:t>instill</w:t>
      </w:r>
      <w:proofErr w:type="spellEnd"/>
      <w:r w:rsidRPr="009B48B5">
        <w:rPr>
          <w:rFonts w:ascii="Arial" w:eastAsia="Arial" w:hAnsi="Arial" w:cs="Arial"/>
          <w:sz w:val="20"/>
          <w:szCs w:val="20"/>
          <w:lang w:val="en-ID"/>
        </w:rPr>
        <w:t xml:space="preserve"> enduring moral and ethical principles, thereby fostering a generation that is both cognizant of the risks of drug abuse and committed to rejecting its presence within society.</w:t>
      </w:r>
    </w:p>
    <w:p w14:paraId="14DFC674" w14:textId="77777777" w:rsidR="002E4C51" w:rsidRPr="009B48B5" w:rsidRDefault="002E4C51" w:rsidP="009B48B5">
      <w:pPr>
        <w:pBdr>
          <w:top w:val="nil"/>
          <w:left w:val="nil"/>
          <w:bottom w:val="nil"/>
          <w:right w:val="nil"/>
          <w:between w:val="nil"/>
        </w:pBdr>
        <w:spacing w:after="0" w:line="480" w:lineRule="auto"/>
        <w:ind w:firstLine="567"/>
        <w:jc w:val="both"/>
        <w:rPr>
          <w:rFonts w:ascii="Arial" w:eastAsia="Arial" w:hAnsi="Arial" w:cs="Arial"/>
          <w:sz w:val="20"/>
          <w:szCs w:val="20"/>
          <w:lang w:val="en-ID"/>
        </w:rPr>
      </w:pPr>
      <w:r w:rsidRPr="009B48B5">
        <w:rPr>
          <w:rFonts w:ascii="Arial" w:eastAsia="Arial" w:hAnsi="Arial" w:cs="Arial"/>
          <w:sz w:val="20"/>
          <w:szCs w:val="20"/>
          <w:lang w:val="en-ID"/>
        </w:rPr>
        <w:t>The integration of character education into informal educational activities involves the development of curricula that combine drug prevention content with the reinforcement of moral and ethical values essential for personal and social development. Employing interactive pedagogical methods, such as group discussions, simulations, and role-playing exercises, ensures that learners actively participate in the internalization of these principles, rather than remaining passive recipients of information. Additionally, comprehensive training for educators as key agents of change enhances their capacity to deliver relevant educational content effectively and to identify early indicators of drug abuse among students.</w:t>
      </w:r>
    </w:p>
    <w:p w14:paraId="78916161" w14:textId="77777777" w:rsidR="002E4C51" w:rsidRPr="009B48B5" w:rsidRDefault="002E4C51" w:rsidP="009B48B5">
      <w:pPr>
        <w:pBdr>
          <w:top w:val="nil"/>
          <w:left w:val="nil"/>
          <w:bottom w:val="nil"/>
          <w:right w:val="nil"/>
          <w:between w:val="nil"/>
        </w:pBdr>
        <w:spacing w:after="0" w:line="480" w:lineRule="auto"/>
        <w:ind w:firstLine="567"/>
        <w:jc w:val="both"/>
        <w:rPr>
          <w:rFonts w:ascii="Arial" w:eastAsia="Arial" w:hAnsi="Arial" w:cs="Arial"/>
          <w:sz w:val="20"/>
          <w:szCs w:val="20"/>
          <w:lang w:val="en-ID"/>
        </w:rPr>
      </w:pPr>
      <w:r w:rsidRPr="009B48B5">
        <w:rPr>
          <w:rFonts w:ascii="Arial" w:eastAsia="Arial" w:hAnsi="Arial" w:cs="Arial"/>
          <w:sz w:val="20"/>
          <w:szCs w:val="20"/>
          <w:lang w:val="en-ID"/>
        </w:rPr>
        <w:t xml:space="preserve">The role of religious instructors in character education within </w:t>
      </w:r>
      <w:proofErr w:type="spellStart"/>
      <w:r w:rsidRPr="009B48B5">
        <w:rPr>
          <w:rFonts w:ascii="Arial" w:eastAsia="Arial" w:hAnsi="Arial" w:cs="Arial"/>
          <w:sz w:val="20"/>
          <w:szCs w:val="20"/>
          <w:lang w:val="en-ID"/>
        </w:rPr>
        <w:t>Kelurahan</w:t>
      </w:r>
      <w:proofErr w:type="spellEnd"/>
      <w:r w:rsidRPr="009B48B5">
        <w:rPr>
          <w:rFonts w:ascii="Arial" w:eastAsia="Arial" w:hAnsi="Arial" w:cs="Arial"/>
          <w:sz w:val="20"/>
          <w:szCs w:val="20"/>
          <w:lang w:val="en-ID"/>
        </w:rPr>
        <w:t xml:space="preserve"> </w:t>
      </w:r>
      <w:proofErr w:type="spellStart"/>
      <w:r w:rsidRPr="009B48B5">
        <w:rPr>
          <w:rFonts w:ascii="Arial" w:eastAsia="Arial" w:hAnsi="Arial" w:cs="Arial"/>
          <w:sz w:val="20"/>
          <w:szCs w:val="20"/>
          <w:lang w:val="en-ID"/>
        </w:rPr>
        <w:t>Sambinae</w:t>
      </w:r>
      <w:proofErr w:type="spellEnd"/>
      <w:r w:rsidRPr="009B48B5">
        <w:rPr>
          <w:rFonts w:ascii="Arial" w:eastAsia="Arial" w:hAnsi="Arial" w:cs="Arial"/>
          <w:sz w:val="20"/>
          <w:szCs w:val="20"/>
          <w:lang w:val="en-ID"/>
        </w:rPr>
        <w:t xml:space="preserve"> is of considerable significance. These individuals are entrusted with the responsibility of disseminating religious teachings that underscore the dangers of drug abuse, while simultaneously integrating Islamic principles that </w:t>
      </w:r>
      <w:proofErr w:type="spellStart"/>
      <w:r w:rsidRPr="009B48B5">
        <w:rPr>
          <w:rFonts w:ascii="Arial" w:eastAsia="Arial" w:hAnsi="Arial" w:cs="Arial"/>
          <w:sz w:val="20"/>
          <w:szCs w:val="20"/>
          <w:lang w:val="en-ID"/>
        </w:rPr>
        <w:t>instill</w:t>
      </w:r>
      <w:proofErr w:type="spellEnd"/>
      <w:r w:rsidRPr="009B48B5">
        <w:rPr>
          <w:rFonts w:ascii="Arial" w:eastAsia="Arial" w:hAnsi="Arial" w:cs="Arial"/>
          <w:sz w:val="20"/>
          <w:szCs w:val="20"/>
          <w:lang w:val="en-ID"/>
        </w:rPr>
        <w:t xml:space="preserve"> moral values as a foundation for rejecting narcotics. To enhance their motivation and optimize their outreach activities in both places of worship and broader community settings, the local government has introduced incentives, such as salary increases. This initiative reinforces the spiritual dimension as a central mechanism in drug prevention efforts.</w:t>
      </w:r>
    </w:p>
    <w:p w14:paraId="716C1150" w14:textId="77777777" w:rsidR="002E4C51" w:rsidRPr="009B48B5" w:rsidRDefault="002E4C51" w:rsidP="009B48B5">
      <w:pPr>
        <w:pBdr>
          <w:top w:val="nil"/>
          <w:left w:val="nil"/>
          <w:bottom w:val="nil"/>
          <w:right w:val="nil"/>
          <w:between w:val="nil"/>
        </w:pBdr>
        <w:spacing w:after="0" w:line="480" w:lineRule="auto"/>
        <w:ind w:firstLine="567"/>
        <w:jc w:val="both"/>
        <w:rPr>
          <w:rFonts w:ascii="Arial" w:eastAsia="Arial" w:hAnsi="Arial" w:cs="Arial"/>
          <w:sz w:val="20"/>
          <w:szCs w:val="20"/>
          <w:lang w:val="en-ID"/>
        </w:rPr>
      </w:pPr>
      <w:r w:rsidRPr="009B48B5">
        <w:rPr>
          <w:rFonts w:ascii="Arial" w:eastAsia="Arial" w:hAnsi="Arial" w:cs="Arial"/>
          <w:sz w:val="20"/>
          <w:szCs w:val="20"/>
          <w:lang w:val="en-ID"/>
        </w:rPr>
        <w:t xml:space="preserve">The implementation of informal educational initiatives has elicited </w:t>
      </w:r>
      <w:proofErr w:type="spellStart"/>
      <w:r w:rsidRPr="009B48B5">
        <w:rPr>
          <w:rFonts w:ascii="Arial" w:eastAsia="Arial" w:hAnsi="Arial" w:cs="Arial"/>
          <w:sz w:val="20"/>
          <w:szCs w:val="20"/>
          <w:lang w:val="en-ID"/>
        </w:rPr>
        <w:t>favorable</w:t>
      </w:r>
      <w:proofErr w:type="spellEnd"/>
      <w:r w:rsidRPr="009B48B5">
        <w:rPr>
          <w:rFonts w:ascii="Arial" w:eastAsia="Arial" w:hAnsi="Arial" w:cs="Arial"/>
          <w:sz w:val="20"/>
          <w:szCs w:val="20"/>
          <w:lang w:val="en-ID"/>
        </w:rPr>
        <w:t xml:space="preserve"> responses from both community members and learners, reflecting an increased level of understanding and critical awareness regarding the hazards of drug abuse. The integration of character education with local cultural values and religious teachings has successfully fostered a social environment in which anti-drug norms are embedded within the community's collective identity. Consequently, this approach extends beyond traditional educational frameworks, representing a broader cultural transformation that contributes significantly to mitigating the risk of drug abuse.</w:t>
      </w:r>
    </w:p>
    <w:p w14:paraId="249AD613" w14:textId="77777777" w:rsidR="002E4C51" w:rsidRPr="009B48B5" w:rsidRDefault="002E4C51" w:rsidP="009B48B5">
      <w:pPr>
        <w:pBdr>
          <w:top w:val="nil"/>
          <w:left w:val="nil"/>
          <w:bottom w:val="nil"/>
          <w:right w:val="nil"/>
          <w:between w:val="nil"/>
        </w:pBdr>
        <w:spacing w:after="0" w:line="480" w:lineRule="auto"/>
        <w:ind w:firstLine="567"/>
        <w:jc w:val="both"/>
        <w:rPr>
          <w:rFonts w:ascii="Arial" w:eastAsia="Arial" w:hAnsi="Arial" w:cs="Arial"/>
          <w:sz w:val="20"/>
          <w:szCs w:val="20"/>
          <w:lang w:val="en-ID"/>
        </w:rPr>
      </w:pPr>
      <w:r w:rsidRPr="009B48B5">
        <w:rPr>
          <w:rFonts w:ascii="Arial" w:eastAsia="Arial" w:hAnsi="Arial" w:cs="Arial"/>
          <w:sz w:val="20"/>
          <w:szCs w:val="20"/>
          <w:lang w:val="en-ID"/>
        </w:rPr>
        <w:t xml:space="preserve">In parallel with strengthening informal education, the establishment of youth support groups at the </w:t>
      </w:r>
      <w:proofErr w:type="spellStart"/>
      <w:r w:rsidRPr="009B48B5">
        <w:rPr>
          <w:rFonts w:ascii="Arial" w:eastAsia="Arial" w:hAnsi="Arial" w:cs="Arial"/>
          <w:sz w:val="20"/>
          <w:szCs w:val="20"/>
          <w:lang w:val="en-ID"/>
        </w:rPr>
        <w:t>neighborhood</w:t>
      </w:r>
      <w:proofErr w:type="spellEnd"/>
      <w:r w:rsidRPr="009B48B5">
        <w:rPr>
          <w:rFonts w:ascii="Arial" w:eastAsia="Arial" w:hAnsi="Arial" w:cs="Arial"/>
          <w:sz w:val="20"/>
          <w:szCs w:val="20"/>
          <w:lang w:val="en-ID"/>
        </w:rPr>
        <w:t xml:space="preserve"> level constitutes a vital strategy for constructing positive social networks aimed at preventing drug abuse. These groups, predominantly composed of secondary school students, provide a secure space for participants to share experiences, discuss personal and </w:t>
      </w:r>
      <w:r w:rsidRPr="009B48B5">
        <w:rPr>
          <w:rFonts w:ascii="Arial" w:eastAsia="Arial" w:hAnsi="Arial" w:cs="Arial"/>
          <w:sz w:val="20"/>
          <w:szCs w:val="20"/>
          <w:lang w:val="en-ID"/>
        </w:rPr>
        <w:lastRenderedPageBreak/>
        <w:t>social challenges, and develop practical competencies for resisting drug offers. Ongoing engagement within these groups reinforces anti-drug attitudes while cultivating solidarity, self-confidence, and a heightened sense of collective responsibility among the youth.</w:t>
      </w:r>
    </w:p>
    <w:p w14:paraId="31E564B2" w14:textId="77777777" w:rsidR="002E4C51" w:rsidRPr="009B48B5" w:rsidRDefault="002E4C51" w:rsidP="009B48B5">
      <w:pPr>
        <w:pBdr>
          <w:top w:val="nil"/>
          <w:left w:val="nil"/>
          <w:bottom w:val="nil"/>
          <w:right w:val="nil"/>
          <w:between w:val="nil"/>
        </w:pBdr>
        <w:spacing w:after="0" w:line="480" w:lineRule="auto"/>
        <w:ind w:firstLine="567"/>
        <w:jc w:val="both"/>
        <w:rPr>
          <w:rFonts w:ascii="Arial" w:eastAsia="Arial" w:hAnsi="Arial" w:cs="Arial"/>
          <w:sz w:val="20"/>
          <w:szCs w:val="20"/>
          <w:lang w:val="en-ID"/>
        </w:rPr>
      </w:pPr>
      <w:r w:rsidRPr="009B48B5">
        <w:rPr>
          <w:rFonts w:ascii="Arial" w:eastAsia="Arial" w:hAnsi="Arial" w:cs="Arial"/>
          <w:sz w:val="20"/>
          <w:szCs w:val="20"/>
          <w:lang w:val="en-ID"/>
        </w:rPr>
        <w:t>The design of these support group programs adopts a comprehensive approach, incorporating discussions, experience-sharing sessions, interactive question-and-answer segments, practical skill development, and participant presentations. This multidimensional methodology ensures that the learning process is not confined to theoretical knowledge but is complemented by practical application, thereby enhancing young individuals’ preparedness to confront real-world situations involving exposure to drugs. Through these activities, participants acquire the ability to identify potential risks, refine refusal skills, and seek appropriate assistance when confronted with drug-related challenges.</w:t>
      </w:r>
    </w:p>
    <w:p w14:paraId="2B02F85F" w14:textId="77777777" w:rsidR="002E4C51" w:rsidRPr="009B48B5" w:rsidRDefault="002E4C51" w:rsidP="009B48B5">
      <w:pPr>
        <w:pBdr>
          <w:top w:val="nil"/>
          <w:left w:val="nil"/>
          <w:bottom w:val="nil"/>
          <w:right w:val="nil"/>
          <w:between w:val="nil"/>
        </w:pBdr>
        <w:spacing w:after="0" w:line="480" w:lineRule="auto"/>
        <w:ind w:firstLine="567"/>
        <w:jc w:val="both"/>
        <w:rPr>
          <w:rFonts w:ascii="Arial" w:eastAsia="Arial" w:hAnsi="Arial" w:cs="Arial"/>
          <w:sz w:val="20"/>
          <w:szCs w:val="20"/>
          <w:lang w:val="en-ID"/>
        </w:rPr>
      </w:pPr>
      <w:r w:rsidRPr="009B48B5">
        <w:rPr>
          <w:rFonts w:ascii="Arial" w:eastAsia="Arial" w:hAnsi="Arial" w:cs="Arial"/>
          <w:sz w:val="20"/>
          <w:szCs w:val="20"/>
          <w:lang w:val="en-ID"/>
        </w:rPr>
        <w:t xml:space="preserve">Furthermore, these support groups function as agents of social transformation within the community. By actively embodying </w:t>
      </w:r>
      <w:proofErr w:type="spellStart"/>
      <w:r w:rsidRPr="009B48B5">
        <w:rPr>
          <w:rFonts w:ascii="Arial" w:eastAsia="Arial" w:hAnsi="Arial" w:cs="Arial"/>
          <w:sz w:val="20"/>
          <w:szCs w:val="20"/>
          <w:lang w:val="en-ID"/>
        </w:rPr>
        <w:t>behaviors</w:t>
      </w:r>
      <w:proofErr w:type="spellEnd"/>
      <w:r w:rsidRPr="009B48B5">
        <w:rPr>
          <w:rFonts w:ascii="Arial" w:eastAsia="Arial" w:hAnsi="Arial" w:cs="Arial"/>
          <w:sz w:val="20"/>
          <w:szCs w:val="20"/>
          <w:lang w:val="en-ID"/>
        </w:rPr>
        <w:t xml:space="preserve"> that reject drug use, they contribute to the reinforcement of social norms that oppose narcotics and facilitate the cultivation of an anti-drug culture in their immediate environment. Simultaneously, these groups provide essential emotional and social support to their members, helping to alleviate feelings of isolation and reinforcing a collective commitment to addressing the threat of drug abuse.</w:t>
      </w:r>
    </w:p>
    <w:p w14:paraId="16FBD136" w14:textId="77777777" w:rsidR="002E4C51" w:rsidRPr="009B48B5" w:rsidRDefault="002E4C51" w:rsidP="009B48B5">
      <w:pPr>
        <w:pBdr>
          <w:top w:val="nil"/>
          <w:left w:val="nil"/>
          <w:bottom w:val="nil"/>
          <w:right w:val="nil"/>
          <w:between w:val="nil"/>
        </w:pBdr>
        <w:spacing w:after="0" w:line="480" w:lineRule="auto"/>
        <w:ind w:firstLine="567"/>
        <w:jc w:val="both"/>
        <w:rPr>
          <w:rFonts w:ascii="Arial" w:eastAsia="Arial" w:hAnsi="Arial" w:cs="Arial"/>
          <w:sz w:val="20"/>
          <w:szCs w:val="20"/>
          <w:lang w:val="en-ID"/>
        </w:rPr>
      </w:pPr>
      <w:r w:rsidRPr="009B48B5">
        <w:rPr>
          <w:rFonts w:ascii="Arial" w:eastAsia="Arial" w:hAnsi="Arial" w:cs="Arial"/>
          <w:sz w:val="20"/>
          <w:szCs w:val="20"/>
          <w:lang w:val="en-ID"/>
        </w:rPr>
        <w:t xml:space="preserve">The broader efforts to combat drug trafficking in </w:t>
      </w:r>
      <w:proofErr w:type="spellStart"/>
      <w:r w:rsidRPr="009B48B5">
        <w:rPr>
          <w:rFonts w:ascii="Arial" w:eastAsia="Arial" w:hAnsi="Arial" w:cs="Arial"/>
          <w:sz w:val="20"/>
          <w:szCs w:val="20"/>
          <w:lang w:val="en-ID"/>
        </w:rPr>
        <w:t>Kelurahan</w:t>
      </w:r>
      <w:proofErr w:type="spellEnd"/>
      <w:r w:rsidRPr="009B48B5">
        <w:rPr>
          <w:rFonts w:ascii="Arial" w:eastAsia="Arial" w:hAnsi="Arial" w:cs="Arial"/>
          <w:sz w:val="20"/>
          <w:szCs w:val="20"/>
          <w:lang w:val="en-ID"/>
        </w:rPr>
        <w:t xml:space="preserve"> </w:t>
      </w:r>
      <w:proofErr w:type="spellStart"/>
      <w:r w:rsidRPr="009B48B5">
        <w:rPr>
          <w:rFonts w:ascii="Arial" w:eastAsia="Arial" w:hAnsi="Arial" w:cs="Arial"/>
          <w:sz w:val="20"/>
          <w:szCs w:val="20"/>
          <w:lang w:val="en-ID"/>
        </w:rPr>
        <w:t>Sambinae</w:t>
      </w:r>
      <w:proofErr w:type="spellEnd"/>
      <w:r w:rsidRPr="009B48B5">
        <w:rPr>
          <w:rFonts w:ascii="Arial" w:eastAsia="Arial" w:hAnsi="Arial" w:cs="Arial"/>
          <w:sz w:val="20"/>
          <w:szCs w:val="20"/>
          <w:lang w:val="en-ID"/>
        </w:rPr>
        <w:t xml:space="preserve"> are further strengthened through cross-sectoral collaboration involving </w:t>
      </w:r>
      <w:proofErr w:type="spellStart"/>
      <w:r w:rsidRPr="009B48B5">
        <w:rPr>
          <w:rFonts w:ascii="Arial" w:eastAsia="Arial" w:hAnsi="Arial" w:cs="Arial"/>
          <w:sz w:val="20"/>
          <w:szCs w:val="20"/>
          <w:lang w:val="en-ID"/>
        </w:rPr>
        <w:t>neighborhood</w:t>
      </w:r>
      <w:proofErr w:type="spellEnd"/>
      <w:r w:rsidRPr="009B48B5">
        <w:rPr>
          <w:rFonts w:ascii="Arial" w:eastAsia="Arial" w:hAnsi="Arial" w:cs="Arial"/>
          <w:sz w:val="20"/>
          <w:szCs w:val="20"/>
          <w:lang w:val="en-ID"/>
        </w:rPr>
        <w:t xml:space="preserve"> administrations, regional and sub-district authorities, law enforcement agencies, non-governmental organizations (NGOs), and community-based groups. Such synergistic cooperation is essential for enhancing resource mobilization, consolidating technical expertise, and improving the coordination and effectiveness of drug prevention programs.</w:t>
      </w:r>
    </w:p>
    <w:p w14:paraId="42126FA4" w14:textId="77777777" w:rsidR="002E4C51" w:rsidRPr="009B48B5" w:rsidRDefault="002E4C51" w:rsidP="009B48B5">
      <w:pPr>
        <w:pBdr>
          <w:top w:val="nil"/>
          <w:left w:val="nil"/>
          <w:bottom w:val="nil"/>
          <w:right w:val="nil"/>
          <w:between w:val="nil"/>
        </w:pBdr>
        <w:spacing w:after="0" w:line="480" w:lineRule="auto"/>
        <w:ind w:firstLine="567"/>
        <w:jc w:val="both"/>
        <w:rPr>
          <w:rFonts w:ascii="Arial" w:eastAsia="Arial" w:hAnsi="Arial" w:cs="Arial"/>
          <w:sz w:val="20"/>
          <w:szCs w:val="20"/>
          <w:lang w:val="en-ID"/>
        </w:rPr>
      </w:pPr>
      <w:r w:rsidRPr="009B48B5">
        <w:rPr>
          <w:rFonts w:ascii="Arial" w:eastAsia="Arial" w:hAnsi="Arial" w:cs="Arial"/>
          <w:sz w:val="20"/>
          <w:szCs w:val="20"/>
          <w:lang w:val="en-ID"/>
        </w:rPr>
        <w:t>Law enforcement personnel, including members of the police, community police officers (</w:t>
      </w:r>
      <w:proofErr w:type="spellStart"/>
      <w:r w:rsidRPr="009B48B5">
        <w:rPr>
          <w:rFonts w:ascii="Arial" w:eastAsia="Arial" w:hAnsi="Arial" w:cs="Arial"/>
          <w:sz w:val="20"/>
          <w:szCs w:val="20"/>
          <w:lang w:val="en-ID"/>
        </w:rPr>
        <w:t>Bhabinkamtibmas</w:t>
      </w:r>
      <w:proofErr w:type="spellEnd"/>
      <w:r w:rsidRPr="009B48B5">
        <w:rPr>
          <w:rFonts w:ascii="Arial" w:eastAsia="Arial" w:hAnsi="Arial" w:cs="Arial"/>
          <w:sz w:val="20"/>
          <w:szCs w:val="20"/>
          <w:lang w:val="en-ID"/>
        </w:rPr>
        <w:t>), and military supervisory personnel (</w:t>
      </w:r>
      <w:proofErr w:type="spellStart"/>
      <w:r w:rsidRPr="009B48B5">
        <w:rPr>
          <w:rFonts w:ascii="Arial" w:eastAsia="Arial" w:hAnsi="Arial" w:cs="Arial"/>
          <w:sz w:val="20"/>
          <w:szCs w:val="20"/>
          <w:lang w:val="en-ID"/>
        </w:rPr>
        <w:t>Babinsa</w:t>
      </w:r>
      <w:proofErr w:type="spellEnd"/>
      <w:r w:rsidRPr="009B48B5">
        <w:rPr>
          <w:rFonts w:ascii="Arial" w:eastAsia="Arial" w:hAnsi="Arial" w:cs="Arial"/>
          <w:sz w:val="20"/>
          <w:szCs w:val="20"/>
          <w:lang w:val="en-ID"/>
        </w:rPr>
        <w:t xml:space="preserve">), play a critical role as strategic partners in the enforcement of drug control measures. Their presence in monitoring activities and preventive operations serves as a deterrent to potential offenders while fostering public trust in legal institutions. Transparent, consistent, and equitable law enforcement contributes to the </w:t>
      </w:r>
      <w:r w:rsidRPr="009B48B5">
        <w:rPr>
          <w:rFonts w:ascii="Arial" w:eastAsia="Arial" w:hAnsi="Arial" w:cs="Arial"/>
          <w:sz w:val="20"/>
          <w:szCs w:val="20"/>
          <w:lang w:val="en-ID"/>
        </w:rPr>
        <w:lastRenderedPageBreak/>
        <w:t>establishment of social norms supportive of drug control initiatives and delivers unequivocal deterrent messages to those contemplating involvement in illegal activities.</w:t>
      </w:r>
    </w:p>
    <w:p w14:paraId="10E8BBC8" w14:textId="1DF01FEA" w:rsidR="00427C61" w:rsidRPr="009B48B5" w:rsidRDefault="002E4C51" w:rsidP="009B48B5">
      <w:pPr>
        <w:pBdr>
          <w:top w:val="nil"/>
          <w:left w:val="nil"/>
          <w:bottom w:val="nil"/>
          <w:right w:val="nil"/>
          <w:between w:val="nil"/>
        </w:pBdr>
        <w:spacing w:after="0" w:line="480" w:lineRule="auto"/>
        <w:ind w:firstLine="567"/>
        <w:jc w:val="both"/>
        <w:rPr>
          <w:rFonts w:ascii="Arial" w:eastAsia="Arial" w:hAnsi="Arial" w:cs="Arial"/>
          <w:sz w:val="20"/>
          <w:szCs w:val="20"/>
          <w:lang w:val="en-ID"/>
        </w:rPr>
      </w:pPr>
      <w:r w:rsidRPr="009B48B5">
        <w:rPr>
          <w:rFonts w:ascii="Arial" w:eastAsia="Arial" w:hAnsi="Arial" w:cs="Arial"/>
          <w:sz w:val="20"/>
          <w:szCs w:val="20"/>
          <w:lang w:val="en-ID"/>
        </w:rPr>
        <w:t xml:space="preserve">Despite these efforts, the participation of NGOs within </w:t>
      </w:r>
      <w:proofErr w:type="spellStart"/>
      <w:r w:rsidRPr="009B48B5">
        <w:rPr>
          <w:rFonts w:ascii="Arial" w:eastAsia="Arial" w:hAnsi="Arial" w:cs="Arial"/>
          <w:sz w:val="20"/>
          <w:szCs w:val="20"/>
          <w:lang w:val="en-ID"/>
        </w:rPr>
        <w:t>Kelurahan</w:t>
      </w:r>
      <w:proofErr w:type="spellEnd"/>
      <w:r w:rsidRPr="009B48B5">
        <w:rPr>
          <w:rFonts w:ascii="Arial" w:eastAsia="Arial" w:hAnsi="Arial" w:cs="Arial"/>
          <w:sz w:val="20"/>
          <w:szCs w:val="20"/>
          <w:lang w:val="en-ID"/>
        </w:rPr>
        <w:t xml:space="preserve"> </w:t>
      </w:r>
      <w:proofErr w:type="spellStart"/>
      <w:r w:rsidRPr="009B48B5">
        <w:rPr>
          <w:rFonts w:ascii="Arial" w:eastAsia="Arial" w:hAnsi="Arial" w:cs="Arial"/>
          <w:sz w:val="20"/>
          <w:szCs w:val="20"/>
          <w:lang w:val="en-ID"/>
        </w:rPr>
        <w:t>Sambinae</w:t>
      </w:r>
      <w:proofErr w:type="spellEnd"/>
      <w:r w:rsidRPr="009B48B5">
        <w:rPr>
          <w:rFonts w:ascii="Arial" w:eastAsia="Arial" w:hAnsi="Arial" w:cs="Arial"/>
          <w:sz w:val="20"/>
          <w:szCs w:val="20"/>
          <w:lang w:val="en-ID"/>
        </w:rPr>
        <w:t xml:space="preserve"> remains relatively limited, representing a significant obstacle to the expansion and effectiveness of drug prevention programs. Consequently, it is essential to intensify partnerships among governmental institutions, law enforcement bodies, NGOs, and community stakeholders to develop participatory, innovative strategies that encourage extensive public involvement and strengthen an inclusive, community-based drug prevention network. The establishment of robust, integrated collaboration constitutes the cornerstone for achieving comprehensive, systemic, and sustainable outcomes in the eradication of drug trafficking.</w:t>
      </w:r>
    </w:p>
    <w:p w14:paraId="47E13799" w14:textId="77777777" w:rsidR="00427C61" w:rsidRPr="009B48B5" w:rsidRDefault="00427C61" w:rsidP="009B48B5">
      <w:pPr>
        <w:pBdr>
          <w:top w:val="nil"/>
          <w:left w:val="nil"/>
          <w:bottom w:val="nil"/>
          <w:right w:val="nil"/>
          <w:between w:val="nil"/>
        </w:pBdr>
        <w:spacing w:after="0" w:line="480" w:lineRule="auto"/>
        <w:ind w:firstLine="567"/>
        <w:jc w:val="both"/>
        <w:rPr>
          <w:rFonts w:ascii="Arial" w:eastAsia="Arial" w:hAnsi="Arial" w:cs="Arial"/>
          <w:sz w:val="20"/>
          <w:szCs w:val="20"/>
          <w:lang w:val="en-ID"/>
        </w:rPr>
      </w:pPr>
    </w:p>
    <w:p w14:paraId="01153BE1" w14:textId="7CD85B47" w:rsidR="00483189" w:rsidRPr="009B48B5" w:rsidRDefault="00E0317E" w:rsidP="009B48B5">
      <w:pPr>
        <w:numPr>
          <w:ilvl w:val="0"/>
          <w:numId w:val="1"/>
        </w:numPr>
        <w:pBdr>
          <w:top w:val="nil"/>
          <w:left w:val="nil"/>
          <w:bottom w:val="nil"/>
          <w:right w:val="nil"/>
          <w:between w:val="nil"/>
        </w:pBdr>
        <w:spacing w:after="0" w:line="480" w:lineRule="auto"/>
        <w:ind w:left="426"/>
        <w:jc w:val="both"/>
        <w:rPr>
          <w:rFonts w:ascii="Arial" w:eastAsia="Arial" w:hAnsi="Arial" w:cs="Arial"/>
          <w:b/>
          <w:sz w:val="20"/>
          <w:szCs w:val="20"/>
        </w:rPr>
      </w:pPr>
      <w:r w:rsidRPr="009B48B5">
        <w:rPr>
          <w:rFonts w:ascii="Arial" w:eastAsia="Arial" w:hAnsi="Arial" w:cs="Arial"/>
          <w:b/>
          <w:color w:val="000000"/>
          <w:sz w:val="20"/>
          <w:szCs w:val="20"/>
        </w:rPr>
        <w:t>Conclusio</w:t>
      </w:r>
      <w:r w:rsidRPr="009B48B5">
        <w:rPr>
          <w:rFonts w:ascii="Arial" w:eastAsia="Arial" w:hAnsi="Arial" w:cs="Arial"/>
          <w:b/>
          <w:sz w:val="20"/>
          <w:szCs w:val="20"/>
        </w:rPr>
        <w:t>n</w:t>
      </w:r>
    </w:p>
    <w:p w14:paraId="6E56EB39" w14:textId="77777777" w:rsidR="002E4C51" w:rsidRPr="009B48B5" w:rsidRDefault="002E4C51" w:rsidP="009B48B5">
      <w:pPr>
        <w:pBdr>
          <w:top w:val="nil"/>
          <w:left w:val="nil"/>
          <w:bottom w:val="nil"/>
          <w:right w:val="nil"/>
          <w:between w:val="nil"/>
        </w:pBdr>
        <w:spacing w:after="0" w:line="480" w:lineRule="auto"/>
        <w:ind w:firstLine="567"/>
        <w:jc w:val="both"/>
        <w:rPr>
          <w:rFonts w:ascii="Arial" w:eastAsia="Arial" w:hAnsi="Arial" w:cs="Arial"/>
          <w:bCs/>
          <w:sz w:val="20"/>
          <w:szCs w:val="20"/>
        </w:rPr>
      </w:pPr>
      <w:r w:rsidRPr="009B48B5">
        <w:rPr>
          <w:rFonts w:ascii="Arial" w:eastAsia="Arial" w:hAnsi="Arial" w:cs="Arial"/>
          <w:bCs/>
          <w:sz w:val="20"/>
          <w:szCs w:val="20"/>
        </w:rPr>
        <w:t xml:space="preserve">The findings of this study indicate that the drug prevention strategy implemented in </w:t>
      </w:r>
      <w:proofErr w:type="spellStart"/>
      <w:r w:rsidRPr="009B48B5">
        <w:rPr>
          <w:rFonts w:ascii="Arial" w:eastAsia="Arial" w:hAnsi="Arial" w:cs="Arial"/>
          <w:bCs/>
          <w:sz w:val="20"/>
          <w:szCs w:val="20"/>
        </w:rPr>
        <w:t>Kelurahan</w:t>
      </w:r>
      <w:proofErr w:type="spellEnd"/>
      <w:r w:rsidRPr="009B48B5">
        <w:rPr>
          <w:rFonts w:ascii="Arial" w:eastAsia="Arial" w:hAnsi="Arial" w:cs="Arial"/>
          <w:bCs/>
          <w:sz w:val="20"/>
          <w:szCs w:val="20"/>
        </w:rPr>
        <w:t xml:space="preserve"> </w:t>
      </w:r>
      <w:proofErr w:type="spellStart"/>
      <w:r w:rsidRPr="009B48B5">
        <w:rPr>
          <w:rFonts w:ascii="Arial" w:eastAsia="Arial" w:hAnsi="Arial" w:cs="Arial"/>
          <w:bCs/>
          <w:sz w:val="20"/>
          <w:szCs w:val="20"/>
        </w:rPr>
        <w:t>Sambinae</w:t>
      </w:r>
      <w:proofErr w:type="spellEnd"/>
      <w:r w:rsidRPr="009B48B5">
        <w:rPr>
          <w:rFonts w:ascii="Arial" w:eastAsia="Arial" w:hAnsi="Arial" w:cs="Arial"/>
          <w:bCs/>
          <w:sz w:val="20"/>
          <w:szCs w:val="20"/>
        </w:rPr>
        <w:t xml:space="preserve"> has demonstrated considerable effectiveness, attributable to the strong synergy among key institutional actors and the strategic management of resources, legal instruments, and educational initiatives. The coordinated efforts among the village administration, </w:t>
      </w:r>
      <w:proofErr w:type="spellStart"/>
      <w:r w:rsidRPr="009B48B5">
        <w:rPr>
          <w:rFonts w:ascii="Arial" w:eastAsia="Arial" w:hAnsi="Arial" w:cs="Arial"/>
          <w:bCs/>
          <w:sz w:val="20"/>
          <w:szCs w:val="20"/>
        </w:rPr>
        <w:t>Bhabinkamtibmas</w:t>
      </w:r>
      <w:proofErr w:type="spellEnd"/>
      <w:r w:rsidRPr="009B48B5">
        <w:rPr>
          <w:rFonts w:ascii="Arial" w:eastAsia="Arial" w:hAnsi="Arial" w:cs="Arial"/>
          <w:bCs/>
          <w:sz w:val="20"/>
          <w:szCs w:val="20"/>
        </w:rPr>
        <w:t xml:space="preserve">, </w:t>
      </w:r>
      <w:proofErr w:type="spellStart"/>
      <w:r w:rsidRPr="009B48B5">
        <w:rPr>
          <w:rFonts w:ascii="Arial" w:eastAsia="Arial" w:hAnsi="Arial" w:cs="Arial"/>
          <w:bCs/>
          <w:sz w:val="20"/>
          <w:szCs w:val="20"/>
        </w:rPr>
        <w:t>Babinsa</w:t>
      </w:r>
      <w:proofErr w:type="spellEnd"/>
      <w:r w:rsidRPr="009B48B5">
        <w:rPr>
          <w:rFonts w:ascii="Arial" w:eastAsia="Arial" w:hAnsi="Arial" w:cs="Arial"/>
          <w:bCs/>
          <w:sz w:val="20"/>
          <w:szCs w:val="20"/>
        </w:rPr>
        <w:t>, religious authorities, and community leaders, with the support of the National Narcotics Agency (BNN), have operationalized an integrated approach that incorporates elements of Soft Power, Hard Power, and Smart Power. This multi-faceted framework has contributed significantly to the creation of a more secure social environment and the marked reduction in illicit drug distribution within the area.</w:t>
      </w:r>
    </w:p>
    <w:p w14:paraId="69309EE8" w14:textId="77777777" w:rsidR="002E4C51" w:rsidRPr="009B48B5" w:rsidRDefault="002E4C51" w:rsidP="009B48B5">
      <w:pPr>
        <w:pBdr>
          <w:top w:val="nil"/>
          <w:left w:val="nil"/>
          <w:bottom w:val="nil"/>
          <w:right w:val="nil"/>
          <w:between w:val="nil"/>
        </w:pBdr>
        <w:spacing w:after="0" w:line="480" w:lineRule="auto"/>
        <w:ind w:firstLine="567"/>
        <w:jc w:val="both"/>
        <w:rPr>
          <w:rFonts w:ascii="Arial" w:eastAsia="Arial" w:hAnsi="Arial" w:cs="Arial"/>
          <w:bCs/>
          <w:sz w:val="20"/>
          <w:szCs w:val="20"/>
        </w:rPr>
      </w:pPr>
      <w:r w:rsidRPr="009B48B5">
        <w:rPr>
          <w:rFonts w:ascii="Arial" w:eastAsia="Arial" w:hAnsi="Arial" w:cs="Arial"/>
          <w:bCs/>
          <w:sz w:val="20"/>
          <w:szCs w:val="20"/>
        </w:rPr>
        <w:t xml:space="preserve">The optimal deployment of available resources, encompassing infrastructure, financial support, and human capital, has played a critical role in advancing the objectives of the prevention </w:t>
      </w:r>
      <w:proofErr w:type="spellStart"/>
      <w:r w:rsidRPr="009B48B5">
        <w:rPr>
          <w:rFonts w:ascii="Arial" w:eastAsia="Arial" w:hAnsi="Arial" w:cs="Arial"/>
          <w:bCs/>
          <w:sz w:val="20"/>
          <w:szCs w:val="20"/>
        </w:rPr>
        <w:t>programme</w:t>
      </w:r>
      <w:proofErr w:type="spellEnd"/>
      <w:r w:rsidRPr="009B48B5">
        <w:rPr>
          <w:rFonts w:ascii="Arial" w:eastAsia="Arial" w:hAnsi="Arial" w:cs="Arial"/>
          <w:bCs/>
          <w:sz w:val="20"/>
          <w:szCs w:val="20"/>
        </w:rPr>
        <w:t xml:space="preserve">. Nevertheless, enduring challenges persist, notably the limited availability of qualified personnel, geographical constraints, and fluctuations in the level of community participation. Legal reinforcement, particularly through the application of Law Number 35 of 2009 and the implementation of targeted legal education initiatives, has been instrumental in enhancing public awareness and promoting legal compliance. Moreover, informal educational </w:t>
      </w:r>
      <w:proofErr w:type="spellStart"/>
      <w:r w:rsidRPr="009B48B5">
        <w:rPr>
          <w:rFonts w:ascii="Arial" w:eastAsia="Arial" w:hAnsi="Arial" w:cs="Arial"/>
          <w:bCs/>
          <w:sz w:val="20"/>
          <w:szCs w:val="20"/>
        </w:rPr>
        <w:t>programmes</w:t>
      </w:r>
      <w:proofErr w:type="spellEnd"/>
      <w:r w:rsidRPr="009B48B5">
        <w:rPr>
          <w:rFonts w:ascii="Arial" w:eastAsia="Arial" w:hAnsi="Arial" w:cs="Arial"/>
          <w:bCs/>
          <w:sz w:val="20"/>
          <w:szCs w:val="20"/>
        </w:rPr>
        <w:t xml:space="preserve"> and </w:t>
      </w:r>
      <w:r w:rsidRPr="009B48B5">
        <w:rPr>
          <w:rFonts w:ascii="Arial" w:eastAsia="Arial" w:hAnsi="Arial" w:cs="Arial"/>
          <w:bCs/>
          <w:sz w:val="20"/>
          <w:szCs w:val="20"/>
        </w:rPr>
        <w:lastRenderedPageBreak/>
        <w:t>peer-led youth initiatives have contributed meaningfully to the development of adolescent character and the cultivation of awareness regarding the dangers of drug abuse.</w:t>
      </w:r>
    </w:p>
    <w:p w14:paraId="4962C0CC" w14:textId="77777777" w:rsidR="002E4C51" w:rsidRPr="009B48B5" w:rsidRDefault="002E4C51" w:rsidP="009B48B5">
      <w:pPr>
        <w:pBdr>
          <w:top w:val="nil"/>
          <w:left w:val="nil"/>
          <w:bottom w:val="nil"/>
          <w:right w:val="nil"/>
          <w:between w:val="nil"/>
        </w:pBdr>
        <w:spacing w:after="0" w:line="480" w:lineRule="auto"/>
        <w:ind w:firstLine="567"/>
        <w:jc w:val="both"/>
        <w:rPr>
          <w:rFonts w:ascii="Arial" w:eastAsia="Arial" w:hAnsi="Arial" w:cs="Arial"/>
          <w:bCs/>
          <w:sz w:val="20"/>
          <w:szCs w:val="20"/>
        </w:rPr>
      </w:pPr>
      <w:r w:rsidRPr="009B48B5">
        <w:rPr>
          <w:rFonts w:ascii="Arial" w:eastAsia="Arial" w:hAnsi="Arial" w:cs="Arial"/>
          <w:bCs/>
          <w:sz w:val="20"/>
          <w:szCs w:val="20"/>
        </w:rPr>
        <w:t>The collaborative engagement of local government structures, district-level authorities, and non-governmental organizations (NGOs) reflects the essential role of multisectoral cooperation in addressing complex social problems such as narcotics abuse. Nonetheless, the findings suggest that further improvements in community participation and expanded support from NGOs are necessary to ensure the sustainability of prevention efforts. This research highlights that the success of drug prevention initiatives is contingent upon the adoption of an integrated, multi-stakeholder strategy that remains responsive to evolving challenges.</w:t>
      </w:r>
    </w:p>
    <w:p w14:paraId="003B2BA5" w14:textId="62CC0EDB" w:rsidR="00427C61" w:rsidRPr="009B48B5" w:rsidRDefault="002E4C51" w:rsidP="009B48B5">
      <w:pPr>
        <w:pBdr>
          <w:top w:val="nil"/>
          <w:left w:val="nil"/>
          <w:bottom w:val="nil"/>
          <w:right w:val="nil"/>
          <w:between w:val="nil"/>
        </w:pBdr>
        <w:spacing w:after="0" w:line="480" w:lineRule="auto"/>
        <w:ind w:firstLine="567"/>
        <w:jc w:val="both"/>
        <w:rPr>
          <w:rFonts w:ascii="Arial" w:eastAsia="Arial" w:hAnsi="Arial" w:cs="Arial"/>
          <w:bCs/>
          <w:sz w:val="20"/>
          <w:szCs w:val="20"/>
        </w:rPr>
      </w:pPr>
      <w:r w:rsidRPr="009B48B5">
        <w:rPr>
          <w:rFonts w:ascii="Arial" w:eastAsia="Arial" w:hAnsi="Arial" w:cs="Arial"/>
          <w:bCs/>
          <w:sz w:val="20"/>
          <w:szCs w:val="20"/>
        </w:rPr>
        <w:t xml:space="preserve">To enhance the efficacy of current prevention mechanisms, it is recommended that coordination among village authorities, security forces, and community leaders be strengthened through the institutionalization of regular consultative forums and dialogue platforms. Increasing community involvement in the design and execution of prevention activities is expected to promote a greater sense of collective ownership and accountability. Addressing the limitations in human resources will require the allocation of additional funding for infrastructure development and the provision of specialized training for personnel involved in drug prevention, case management, and educational interventions. Furthermore, the expansion and systematic implementation of legal outreach </w:t>
      </w:r>
      <w:proofErr w:type="spellStart"/>
      <w:r w:rsidRPr="009B48B5">
        <w:rPr>
          <w:rFonts w:ascii="Arial" w:eastAsia="Arial" w:hAnsi="Arial" w:cs="Arial"/>
          <w:bCs/>
          <w:sz w:val="20"/>
          <w:szCs w:val="20"/>
        </w:rPr>
        <w:t>programmes</w:t>
      </w:r>
      <w:proofErr w:type="spellEnd"/>
      <w:r w:rsidRPr="009B48B5">
        <w:rPr>
          <w:rFonts w:ascii="Arial" w:eastAsia="Arial" w:hAnsi="Arial" w:cs="Arial"/>
          <w:bCs/>
          <w:sz w:val="20"/>
          <w:szCs w:val="20"/>
        </w:rPr>
        <w:t>, utilizing accessible language and culturally relevant materials, alongside the reinforcement of informal education initiatives that incorporate ethical and character-building components, will be vital in deepening legal awareness and enhancing community resilience to the threat of drug abuse.</w:t>
      </w:r>
    </w:p>
    <w:p w14:paraId="6A318B19" w14:textId="23D95DFF" w:rsidR="00483189" w:rsidRDefault="00E0317E">
      <w:pPr>
        <w:pBdr>
          <w:top w:val="nil"/>
          <w:left w:val="nil"/>
          <w:bottom w:val="nil"/>
          <w:right w:val="nil"/>
          <w:between w:val="nil"/>
        </w:pBdr>
        <w:spacing w:before="240" w:after="120"/>
        <w:ind w:left="426" w:hanging="426"/>
        <w:rPr>
          <w:rFonts w:ascii="Arial" w:eastAsia="Arial" w:hAnsi="Arial" w:cs="Arial"/>
          <w:b/>
          <w:color w:val="000000"/>
          <w:sz w:val="20"/>
          <w:szCs w:val="20"/>
        </w:rPr>
      </w:pPr>
      <w:r>
        <w:rPr>
          <w:rFonts w:ascii="Arial" w:eastAsia="Arial" w:hAnsi="Arial" w:cs="Arial"/>
          <w:b/>
          <w:color w:val="000000"/>
          <w:sz w:val="20"/>
          <w:szCs w:val="20"/>
        </w:rPr>
        <w:t>References</w:t>
      </w:r>
    </w:p>
    <w:p w14:paraId="3E303F92" w14:textId="699CC8A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Pr>
          <w:rFonts w:ascii="Arial" w:eastAsia="Arial" w:hAnsi="Arial" w:cs="Arial"/>
          <w:b/>
          <w:color w:val="000000"/>
          <w:sz w:val="20"/>
          <w:szCs w:val="20"/>
        </w:rPr>
        <w:fldChar w:fldCharType="begin" w:fldLock="1"/>
      </w:r>
      <w:r>
        <w:rPr>
          <w:rFonts w:ascii="Arial" w:eastAsia="Arial" w:hAnsi="Arial" w:cs="Arial"/>
          <w:b/>
          <w:color w:val="000000"/>
          <w:sz w:val="20"/>
          <w:szCs w:val="20"/>
        </w:rPr>
        <w:instrText xml:space="preserve">ADDIN Mendeley Bibliography CSL_BIBLIOGRAPHY </w:instrText>
      </w:r>
      <w:r>
        <w:rPr>
          <w:rFonts w:ascii="Arial" w:eastAsia="Arial" w:hAnsi="Arial" w:cs="Arial"/>
          <w:b/>
          <w:color w:val="000000"/>
          <w:sz w:val="20"/>
          <w:szCs w:val="20"/>
        </w:rPr>
        <w:fldChar w:fldCharType="separate"/>
      </w:r>
      <w:r w:rsidRPr="00EC0141">
        <w:rPr>
          <w:rFonts w:ascii="Arial" w:hAnsi="Arial" w:cs="Arial"/>
          <w:noProof/>
          <w:sz w:val="20"/>
        </w:rPr>
        <w:t xml:space="preserve">Adolph, R. (2016). </w:t>
      </w:r>
      <w:r w:rsidRPr="00EC0141">
        <w:rPr>
          <w:rFonts w:ascii="Arial" w:eastAsia="MS Gothic" w:hAnsi="Arial" w:cs="Arial"/>
          <w:i/>
          <w:iCs/>
          <w:noProof/>
          <w:sz w:val="20"/>
        </w:rPr>
        <w:t xml:space="preserve">Pencegahan Dan Pemberantasan Peredaran Narkoba Di Indonesia </w:t>
      </w:r>
      <w:r w:rsidRPr="00EC0141">
        <w:rPr>
          <w:rFonts w:ascii="Arial" w:hAnsi="Arial" w:cs="Arial"/>
          <w:noProof/>
          <w:sz w:val="20"/>
        </w:rPr>
        <w:t>(1), 1–23.</w:t>
      </w:r>
    </w:p>
    <w:p w14:paraId="5C03A046"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Afandi, A., Thalib, H., &amp; Agis, A. (2020). Efektivitas Penanggulangan Peredaran &amp; Penyalahgunaan Narkotika Oleh Badan Nasional Narkotika Sulawesi Selatan. </w:t>
      </w:r>
      <w:r w:rsidRPr="00EC0141">
        <w:rPr>
          <w:rFonts w:ascii="Arial" w:hAnsi="Arial" w:cs="Arial"/>
          <w:i/>
          <w:iCs/>
          <w:noProof/>
          <w:sz w:val="20"/>
        </w:rPr>
        <w:t>Journal of Lex Philosophy (JLP)</w:t>
      </w:r>
      <w:r w:rsidRPr="00EC0141">
        <w:rPr>
          <w:rFonts w:ascii="Arial" w:hAnsi="Arial" w:cs="Arial"/>
          <w:noProof/>
          <w:sz w:val="20"/>
        </w:rPr>
        <w:t xml:space="preserve">, </w:t>
      </w:r>
      <w:r w:rsidRPr="00EC0141">
        <w:rPr>
          <w:rFonts w:ascii="Arial" w:hAnsi="Arial" w:cs="Arial"/>
          <w:i/>
          <w:iCs/>
          <w:noProof/>
          <w:sz w:val="20"/>
        </w:rPr>
        <w:t>1</w:t>
      </w:r>
      <w:r w:rsidRPr="00EC0141">
        <w:rPr>
          <w:rFonts w:ascii="Arial" w:hAnsi="Arial" w:cs="Arial"/>
          <w:noProof/>
          <w:sz w:val="20"/>
        </w:rPr>
        <w:t>(1), 99–121. https://doi.org/10.52103/jlp.v1i1.29</w:t>
      </w:r>
    </w:p>
    <w:p w14:paraId="12288E46"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Arango, C., Díaz-Caneja, C. M., McGorry, P. D., Rapoport, J., Sommer, I. E., Vorstman, J. A., McDaid, D., Marín, O., Serrano-Drozdowskyj, E., Freedman, R., &amp; Carpenter, W. (2018). Preventive strategies for mental health. </w:t>
      </w:r>
      <w:r w:rsidRPr="00EC0141">
        <w:rPr>
          <w:rFonts w:ascii="Arial" w:hAnsi="Arial" w:cs="Arial"/>
          <w:i/>
          <w:iCs/>
          <w:noProof/>
          <w:sz w:val="20"/>
        </w:rPr>
        <w:t>The Lancet Psychiatry</w:t>
      </w:r>
      <w:r w:rsidRPr="00EC0141">
        <w:rPr>
          <w:rFonts w:ascii="Arial" w:hAnsi="Arial" w:cs="Arial"/>
          <w:noProof/>
          <w:sz w:val="20"/>
        </w:rPr>
        <w:t xml:space="preserve">, </w:t>
      </w:r>
      <w:r w:rsidRPr="00EC0141">
        <w:rPr>
          <w:rFonts w:ascii="Arial" w:hAnsi="Arial" w:cs="Arial"/>
          <w:i/>
          <w:iCs/>
          <w:noProof/>
          <w:sz w:val="20"/>
        </w:rPr>
        <w:t>5</w:t>
      </w:r>
      <w:r w:rsidRPr="00EC0141">
        <w:rPr>
          <w:rFonts w:ascii="Arial" w:hAnsi="Arial" w:cs="Arial"/>
          <w:noProof/>
          <w:sz w:val="20"/>
        </w:rPr>
        <w:t>(7), 591–604. https://doi.org/10.1016/S2215-0366(18)30057-9</w:t>
      </w:r>
    </w:p>
    <w:p w14:paraId="38E6DC09"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Asyharudddin, M., Badaru, B., &amp; Hidjaz, M. K. (2020). Analisis Sanksi Pidana Terhadap Pelaku Tindak Pidana Narkotika. </w:t>
      </w:r>
      <w:r w:rsidRPr="00EC0141">
        <w:rPr>
          <w:rFonts w:ascii="Arial" w:hAnsi="Arial" w:cs="Arial"/>
          <w:i/>
          <w:iCs/>
          <w:noProof/>
          <w:sz w:val="20"/>
        </w:rPr>
        <w:t>Pleno Jure</w:t>
      </w:r>
      <w:r w:rsidRPr="00EC0141">
        <w:rPr>
          <w:rFonts w:ascii="Arial" w:hAnsi="Arial" w:cs="Arial"/>
          <w:noProof/>
          <w:sz w:val="20"/>
        </w:rPr>
        <w:t xml:space="preserve">, </w:t>
      </w:r>
      <w:r w:rsidRPr="00EC0141">
        <w:rPr>
          <w:rFonts w:ascii="Arial" w:hAnsi="Arial" w:cs="Arial"/>
          <w:i/>
          <w:iCs/>
          <w:noProof/>
          <w:sz w:val="20"/>
        </w:rPr>
        <w:t>9</w:t>
      </w:r>
      <w:r w:rsidRPr="00EC0141">
        <w:rPr>
          <w:rFonts w:ascii="Arial" w:hAnsi="Arial" w:cs="Arial"/>
          <w:noProof/>
          <w:sz w:val="20"/>
        </w:rPr>
        <w:t>(1), 58–71. https://doi.org/10.37541/plenojure.v9i1.390</w:t>
      </w:r>
    </w:p>
    <w:p w14:paraId="0B941F7D"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lastRenderedPageBreak/>
        <w:t xml:space="preserve">Bumi, S. K., Supolo, S., &amp; Nugroho, B. (2022). Perlindungan Hukum Terhadap Korban Penyalahgunaan Narkotika. </w:t>
      </w:r>
      <w:r w:rsidRPr="00EC0141">
        <w:rPr>
          <w:rFonts w:ascii="Arial" w:hAnsi="Arial" w:cs="Arial"/>
          <w:i/>
          <w:iCs/>
          <w:noProof/>
          <w:sz w:val="20"/>
        </w:rPr>
        <w:t>AL-MANHAJ: Jurnal Hukum Dan Pranata Sosial Islam</w:t>
      </w:r>
      <w:r w:rsidRPr="00EC0141">
        <w:rPr>
          <w:rFonts w:ascii="Arial" w:hAnsi="Arial" w:cs="Arial"/>
          <w:noProof/>
          <w:sz w:val="20"/>
        </w:rPr>
        <w:t xml:space="preserve">, </w:t>
      </w:r>
      <w:r w:rsidRPr="00EC0141">
        <w:rPr>
          <w:rFonts w:ascii="Arial" w:hAnsi="Arial" w:cs="Arial"/>
          <w:i/>
          <w:iCs/>
          <w:noProof/>
          <w:sz w:val="20"/>
        </w:rPr>
        <w:t>4</w:t>
      </w:r>
      <w:r w:rsidRPr="00EC0141">
        <w:rPr>
          <w:rFonts w:ascii="Arial" w:hAnsi="Arial" w:cs="Arial"/>
          <w:noProof/>
          <w:sz w:val="20"/>
        </w:rPr>
        <w:t>(2), 351–364. https://doi.org/10.37680/almanhaj.v4i2.1860</w:t>
      </w:r>
    </w:p>
    <w:p w14:paraId="4C88A632"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Cao, J., Hou, J., Ping, J., &amp; Cai, D. (2018). Advances in developing novel therapeutic strategies for Alzheimer’s disease 11 Medical and Health Sciences 1109 Neurosciences. </w:t>
      </w:r>
      <w:r w:rsidRPr="00EC0141">
        <w:rPr>
          <w:rFonts w:ascii="Arial" w:hAnsi="Arial" w:cs="Arial"/>
          <w:i/>
          <w:iCs/>
          <w:noProof/>
          <w:sz w:val="20"/>
        </w:rPr>
        <w:t>Molecular Neurodegeneration</w:t>
      </w:r>
      <w:r w:rsidRPr="00EC0141">
        <w:rPr>
          <w:rFonts w:ascii="Arial" w:hAnsi="Arial" w:cs="Arial"/>
          <w:noProof/>
          <w:sz w:val="20"/>
        </w:rPr>
        <w:t xml:space="preserve">, </w:t>
      </w:r>
      <w:r w:rsidRPr="00EC0141">
        <w:rPr>
          <w:rFonts w:ascii="Arial" w:hAnsi="Arial" w:cs="Arial"/>
          <w:i/>
          <w:iCs/>
          <w:noProof/>
          <w:sz w:val="20"/>
        </w:rPr>
        <w:t>13</w:t>
      </w:r>
      <w:r w:rsidRPr="00EC0141">
        <w:rPr>
          <w:rFonts w:ascii="Arial" w:hAnsi="Arial" w:cs="Arial"/>
          <w:noProof/>
          <w:sz w:val="20"/>
        </w:rPr>
        <w:t>(1), 1–20.</w:t>
      </w:r>
    </w:p>
    <w:p w14:paraId="315CB750"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Daria, M., Olesia, K., Dmitry, B., Joke, H., M, A. A., Markus, H., &amp; A, T. A. (2016). </w:t>
      </w:r>
      <w:r w:rsidRPr="00EC0141">
        <w:rPr>
          <w:rFonts w:ascii="Arial" w:hAnsi="Arial" w:cs="Arial"/>
          <w:i/>
          <w:iCs/>
          <w:noProof/>
          <w:sz w:val="20"/>
        </w:rPr>
        <w:t>This item is the archived peer-reviewed author-version of : Reference :</w:t>
      </w:r>
      <w:r w:rsidRPr="00EC0141">
        <w:rPr>
          <w:rFonts w:ascii="Arial" w:hAnsi="Arial" w:cs="Arial"/>
          <w:noProof/>
          <w:sz w:val="20"/>
        </w:rPr>
        <w:t xml:space="preserve"> </w:t>
      </w:r>
      <w:r w:rsidRPr="00EC0141">
        <w:rPr>
          <w:rFonts w:ascii="Arial" w:hAnsi="Arial" w:cs="Arial"/>
          <w:i/>
          <w:iCs/>
          <w:noProof/>
          <w:sz w:val="20"/>
        </w:rPr>
        <w:t>14</w:t>
      </w:r>
      <w:r w:rsidRPr="00EC0141">
        <w:rPr>
          <w:rFonts w:ascii="Arial" w:hAnsi="Arial" w:cs="Arial"/>
          <w:noProof/>
          <w:sz w:val="20"/>
        </w:rPr>
        <w:t>, 7079–7089.</w:t>
      </w:r>
    </w:p>
    <w:p w14:paraId="4CF14829"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Demant, J., Bakken, S. A., Oksanen, A., &amp; Gunnlaugsson, H. (2019). Drug dealing on Facebook, Snapchat and Instagram: A qualitative analysis of novel drug markets in the Nordic countries. </w:t>
      </w:r>
      <w:r w:rsidRPr="00EC0141">
        <w:rPr>
          <w:rFonts w:ascii="Arial" w:hAnsi="Arial" w:cs="Arial"/>
          <w:i/>
          <w:iCs/>
          <w:noProof/>
          <w:sz w:val="20"/>
        </w:rPr>
        <w:t>Drug and Alcohol Review</w:t>
      </w:r>
      <w:r w:rsidRPr="00EC0141">
        <w:rPr>
          <w:rFonts w:ascii="Arial" w:hAnsi="Arial" w:cs="Arial"/>
          <w:noProof/>
          <w:sz w:val="20"/>
        </w:rPr>
        <w:t xml:space="preserve">, </w:t>
      </w:r>
      <w:r w:rsidRPr="00EC0141">
        <w:rPr>
          <w:rFonts w:ascii="Arial" w:hAnsi="Arial" w:cs="Arial"/>
          <w:i/>
          <w:iCs/>
          <w:noProof/>
          <w:sz w:val="20"/>
        </w:rPr>
        <w:t>38</w:t>
      </w:r>
      <w:r w:rsidRPr="00EC0141">
        <w:rPr>
          <w:rFonts w:ascii="Arial" w:hAnsi="Arial" w:cs="Arial"/>
          <w:noProof/>
          <w:sz w:val="20"/>
        </w:rPr>
        <w:t>(4), 377–385. https://doi.org/10.1111/dar.12932</w:t>
      </w:r>
    </w:p>
    <w:p w14:paraId="5F6A2D67"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Fithri, B. S. (2020). Pendekatan Preventif Dalam Upaya Perlindungan Korban Tindak Pidana Narkotika. In </w:t>
      </w:r>
      <w:r w:rsidRPr="00EC0141">
        <w:rPr>
          <w:rFonts w:ascii="Arial" w:hAnsi="Arial" w:cs="Arial"/>
          <w:i/>
          <w:iCs/>
          <w:noProof/>
          <w:sz w:val="20"/>
        </w:rPr>
        <w:t>Ilmu Hukum Universitas Medan Area</w:t>
      </w:r>
      <w:r w:rsidRPr="00EC0141">
        <w:rPr>
          <w:rFonts w:ascii="Arial" w:hAnsi="Arial" w:cs="Arial"/>
          <w:noProof/>
          <w:sz w:val="20"/>
        </w:rPr>
        <w:t>. https://repositori.uma.ac.id/handle/123456789/13555</w:t>
      </w:r>
    </w:p>
    <w:p w14:paraId="075CA076"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Fiyana, I. (2017). Upaya Kepolisian Dalam Menanggulangi Penyalahgunaan Narkoba Di Kalangan Remaja (Studi Kasus Di Polresta Surakarta). </w:t>
      </w:r>
      <w:r w:rsidRPr="00EC0141">
        <w:rPr>
          <w:rFonts w:ascii="Arial" w:hAnsi="Arial" w:cs="Arial"/>
          <w:i/>
          <w:iCs/>
          <w:noProof/>
          <w:sz w:val="20"/>
        </w:rPr>
        <w:t>Universitas Muhammadiyah Surakarta</w:t>
      </w:r>
      <w:r w:rsidRPr="00EC0141">
        <w:rPr>
          <w:rFonts w:ascii="Arial" w:hAnsi="Arial" w:cs="Arial"/>
          <w:noProof/>
          <w:sz w:val="20"/>
        </w:rPr>
        <w:t xml:space="preserve">, </w:t>
      </w:r>
      <w:r w:rsidRPr="00EC0141">
        <w:rPr>
          <w:rFonts w:ascii="Arial" w:hAnsi="Arial" w:cs="Arial"/>
          <w:i/>
          <w:iCs/>
          <w:noProof/>
          <w:sz w:val="20"/>
        </w:rPr>
        <w:t>4</w:t>
      </w:r>
      <w:r w:rsidRPr="00EC0141">
        <w:rPr>
          <w:rFonts w:ascii="Arial" w:hAnsi="Arial" w:cs="Arial"/>
          <w:noProof/>
          <w:sz w:val="20"/>
        </w:rPr>
        <w:t>(1), 1–15. https://medium.com/@arifwicaksanaa/pengertian-use-case-a7e576e1b6bf</w:t>
      </w:r>
    </w:p>
    <w:p w14:paraId="078492C2"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Graham, W. V., Bonito-Oliva, A., &amp; Sakmar, T. P. (2017). Update on Alzheimer’s Disease Therapy and Prevention Strategies. </w:t>
      </w:r>
      <w:r w:rsidRPr="00EC0141">
        <w:rPr>
          <w:rFonts w:ascii="Arial" w:hAnsi="Arial" w:cs="Arial"/>
          <w:i/>
          <w:iCs/>
          <w:noProof/>
          <w:sz w:val="20"/>
        </w:rPr>
        <w:t>Annual Review of Medicine</w:t>
      </w:r>
      <w:r w:rsidRPr="00EC0141">
        <w:rPr>
          <w:rFonts w:ascii="Arial" w:hAnsi="Arial" w:cs="Arial"/>
          <w:noProof/>
          <w:sz w:val="20"/>
        </w:rPr>
        <w:t xml:space="preserve">, </w:t>
      </w:r>
      <w:r w:rsidRPr="00EC0141">
        <w:rPr>
          <w:rFonts w:ascii="Arial" w:hAnsi="Arial" w:cs="Arial"/>
          <w:i/>
          <w:iCs/>
          <w:noProof/>
          <w:sz w:val="20"/>
        </w:rPr>
        <w:t>68</w:t>
      </w:r>
      <w:r w:rsidRPr="00EC0141">
        <w:rPr>
          <w:rFonts w:ascii="Arial" w:hAnsi="Arial" w:cs="Arial"/>
          <w:noProof/>
          <w:sz w:val="20"/>
        </w:rPr>
        <w:t>, 413–430. https://doi.org/10.1146/annurev-med-042915-103753</w:t>
      </w:r>
    </w:p>
    <w:p w14:paraId="03FEBF52"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Gusti Ayu Novira Santi, Ni Putu Rai Yuliartini, D. G. S. M. (2019). Perlindungan Hukum Terhadap Korban Tindak Pidana Penyalahgunaan Narkotika Di Kabupaten Buleleng. </w:t>
      </w:r>
      <w:r w:rsidRPr="00EC0141">
        <w:rPr>
          <w:rFonts w:ascii="Arial" w:hAnsi="Arial" w:cs="Arial"/>
          <w:i/>
          <w:iCs/>
          <w:noProof/>
          <w:sz w:val="20"/>
        </w:rPr>
        <w:t>Komunitas Yustisia Universitas Pendidikan Ganesha Jurusan Ilmu Hukum</w:t>
      </w:r>
      <w:r w:rsidRPr="00EC0141">
        <w:rPr>
          <w:rFonts w:ascii="Arial" w:hAnsi="Arial" w:cs="Arial"/>
          <w:noProof/>
          <w:sz w:val="20"/>
        </w:rPr>
        <w:t xml:space="preserve">, </w:t>
      </w:r>
      <w:r w:rsidRPr="00EC0141">
        <w:rPr>
          <w:rFonts w:ascii="Arial" w:hAnsi="Arial" w:cs="Arial"/>
          <w:i/>
          <w:iCs/>
          <w:noProof/>
          <w:sz w:val="20"/>
        </w:rPr>
        <w:t>2</w:t>
      </w:r>
      <w:r w:rsidRPr="00EC0141">
        <w:rPr>
          <w:rFonts w:ascii="Arial" w:hAnsi="Arial" w:cs="Arial"/>
          <w:noProof/>
          <w:sz w:val="20"/>
        </w:rPr>
        <w:t>(3), 216–226. https://ejournal.undiksha.ac.id/index.php/jatayu/article/view/28786</w:t>
      </w:r>
    </w:p>
    <w:p w14:paraId="5EFE7205"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Hariana, H., Mardin, H., &amp; Lasalewo, T. (2022). Sosialisasi Dalam Upaya Mewujudkan Desa Bersih Narkoba. </w:t>
      </w:r>
      <w:r w:rsidRPr="00EC0141">
        <w:rPr>
          <w:rFonts w:ascii="Arial" w:hAnsi="Arial" w:cs="Arial"/>
          <w:i/>
          <w:iCs/>
          <w:noProof/>
          <w:sz w:val="20"/>
        </w:rPr>
        <w:t>Jurnal Abdimas Terapan</w:t>
      </w:r>
      <w:r w:rsidRPr="00EC0141">
        <w:rPr>
          <w:rFonts w:ascii="Arial" w:hAnsi="Arial" w:cs="Arial"/>
          <w:noProof/>
          <w:sz w:val="20"/>
        </w:rPr>
        <w:t xml:space="preserve">, </w:t>
      </w:r>
      <w:r w:rsidRPr="00EC0141">
        <w:rPr>
          <w:rFonts w:ascii="Arial" w:hAnsi="Arial" w:cs="Arial"/>
          <w:i/>
          <w:iCs/>
          <w:noProof/>
          <w:sz w:val="20"/>
        </w:rPr>
        <w:t>2</w:t>
      </w:r>
      <w:r w:rsidRPr="00EC0141">
        <w:rPr>
          <w:rFonts w:ascii="Arial" w:hAnsi="Arial" w:cs="Arial"/>
          <w:noProof/>
          <w:sz w:val="20"/>
        </w:rPr>
        <w:t>(1), 5–9. https://doi.org/10.56190/jat.v2i1.16</w:t>
      </w:r>
    </w:p>
    <w:p w14:paraId="626923B9"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Hidayah, N. P., Alfawwaz, N., &amp; Anggraini, P. C. (2024). </w:t>
      </w:r>
      <w:r w:rsidRPr="00EC0141">
        <w:rPr>
          <w:rFonts w:ascii="Arial" w:hAnsi="Arial" w:cs="Arial"/>
          <w:i/>
          <w:iCs/>
          <w:noProof/>
          <w:sz w:val="20"/>
        </w:rPr>
        <w:t>Optimalisasi Media Digital sebagai Upaya Hukum Preventif terhadap Penyalahgunaan Narkotika di Jakarta Selatan</w:t>
      </w:r>
      <w:r w:rsidRPr="00EC0141">
        <w:rPr>
          <w:rFonts w:ascii="Arial" w:hAnsi="Arial" w:cs="Arial"/>
          <w:noProof/>
          <w:sz w:val="20"/>
        </w:rPr>
        <w:t xml:space="preserve">. </w:t>
      </w:r>
      <w:r w:rsidRPr="00EC0141">
        <w:rPr>
          <w:rFonts w:ascii="Arial" w:hAnsi="Arial" w:cs="Arial"/>
          <w:i/>
          <w:iCs/>
          <w:noProof/>
          <w:sz w:val="20"/>
        </w:rPr>
        <w:t>4</w:t>
      </w:r>
      <w:r w:rsidRPr="00EC0141">
        <w:rPr>
          <w:rFonts w:ascii="Arial" w:hAnsi="Arial" w:cs="Arial"/>
          <w:noProof/>
          <w:sz w:val="20"/>
        </w:rPr>
        <w:t>, 127–138.</w:t>
      </w:r>
    </w:p>
    <w:p w14:paraId="768C5E59"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Hulukati, Y. R., Ismail, D. E., &amp; Nggilu, N. M. (n.d.). </w:t>
      </w:r>
      <w:r w:rsidRPr="00EC0141">
        <w:rPr>
          <w:rFonts w:ascii="Arial" w:hAnsi="Arial" w:cs="Arial"/>
          <w:i/>
          <w:iCs/>
          <w:noProof/>
          <w:sz w:val="20"/>
        </w:rPr>
        <w:t>READING THE ABUSE OF NARCOTICS BY CIVIL STATE EMPLOYEES FROM THE PERSPECTIVE OF CRIMINILOGY STUDY Tentang Kode Etik Pegawai Negeri Sipil di Lingkungan Kementrian Dalam Negeri yang Pegawai Negeri Sipil sebagai abdi Negara dan abdi masyarakat yang dengan Re</w:t>
      </w:r>
      <w:r w:rsidRPr="00EC0141">
        <w:rPr>
          <w:rFonts w:ascii="Arial" w:hAnsi="Arial" w:cs="Arial"/>
          <w:noProof/>
          <w:sz w:val="20"/>
        </w:rPr>
        <w:t xml:space="preserve">. </w:t>
      </w:r>
      <w:r w:rsidRPr="00EC0141">
        <w:rPr>
          <w:rFonts w:ascii="Arial" w:hAnsi="Arial" w:cs="Arial"/>
          <w:i/>
          <w:iCs/>
          <w:noProof/>
          <w:sz w:val="20"/>
        </w:rPr>
        <w:t>15</w:t>
      </w:r>
      <w:r w:rsidRPr="00EC0141">
        <w:rPr>
          <w:rFonts w:ascii="Arial" w:hAnsi="Arial" w:cs="Arial"/>
          <w:noProof/>
          <w:sz w:val="20"/>
        </w:rPr>
        <w:t>(1), 16–30.</w:t>
      </w:r>
    </w:p>
    <w:p w14:paraId="020C7CFD"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Kristiono, H., &amp; Fatmawati, N. (2023). Pemidanaan dan Strategi Kepolisian dalam Mencegah Penyebaran Narkotika. </w:t>
      </w:r>
      <w:r w:rsidRPr="00EC0141">
        <w:rPr>
          <w:rFonts w:ascii="Arial" w:hAnsi="Arial" w:cs="Arial"/>
          <w:i/>
          <w:iCs/>
          <w:noProof/>
          <w:sz w:val="20"/>
        </w:rPr>
        <w:t>Krtha Bhayangkara</w:t>
      </w:r>
      <w:r w:rsidRPr="00EC0141">
        <w:rPr>
          <w:rFonts w:ascii="Arial" w:hAnsi="Arial" w:cs="Arial"/>
          <w:noProof/>
          <w:sz w:val="20"/>
        </w:rPr>
        <w:t xml:space="preserve">, </w:t>
      </w:r>
      <w:r w:rsidRPr="00EC0141">
        <w:rPr>
          <w:rFonts w:ascii="Arial" w:hAnsi="Arial" w:cs="Arial"/>
          <w:i/>
          <w:iCs/>
          <w:noProof/>
          <w:sz w:val="20"/>
        </w:rPr>
        <w:t>17</w:t>
      </w:r>
      <w:r w:rsidRPr="00EC0141">
        <w:rPr>
          <w:rFonts w:ascii="Arial" w:hAnsi="Arial" w:cs="Arial"/>
          <w:noProof/>
          <w:sz w:val="20"/>
        </w:rPr>
        <w:t>(1), 41–50. https://doi.org/10.31599/krtha.v17i1.2010</w:t>
      </w:r>
    </w:p>
    <w:p w14:paraId="3423A4BE"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Lubis, M. A. S., Ismaidar, I., &amp; Lubis, S. (2022). Pemberdayaan Pemerintah Dalam Upaya Pencegahan Peredaran Narkoba Pada Masyarakat Desa Klambir Lima Kebun Kecamatan Hamparan Perak Kabupaten Deli Serdang. </w:t>
      </w:r>
      <w:r w:rsidRPr="00EC0141">
        <w:rPr>
          <w:rFonts w:ascii="Arial" w:hAnsi="Arial" w:cs="Arial"/>
          <w:i/>
          <w:iCs/>
          <w:noProof/>
          <w:sz w:val="20"/>
        </w:rPr>
        <w:t>CERMIN: Jurnal Penelitian</w:t>
      </w:r>
      <w:r w:rsidRPr="00EC0141">
        <w:rPr>
          <w:rFonts w:ascii="Arial" w:hAnsi="Arial" w:cs="Arial"/>
          <w:noProof/>
          <w:sz w:val="20"/>
        </w:rPr>
        <w:t xml:space="preserve">, </w:t>
      </w:r>
      <w:r w:rsidRPr="00EC0141">
        <w:rPr>
          <w:rFonts w:ascii="Arial" w:hAnsi="Arial" w:cs="Arial"/>
          <w:i/>
          <w:iCs/>
          <w:noProof/>
          <w:sz w:val="20"/>
        </w:rPr>
        <w:t>6</w:t>
      </w:r>
      <w:r w:rsidRPr="00EC0141">
        <w:rPr>
          <w:rFonts w:ascii="Arial" w:hAnsi="Arial" w:cs="Arial"/>
          <w:noProof/>
          <w:sz w:val="20"/>
        </w:rPr>
        <w:t>(1), 207. https://doi.org/10.36841/cermin_unars.v6i1.1712</w:t>
      </w:r>
    </w:p>
    <w:p w14:paraId="5673D4A8"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Lukman, G. A., Alifah, A. P., Divarianti, A., &amp; Humaedi, S. (2022). Kasus Narkoba Di Indonesia Dan Upaya Pencegahannya Di Kalangan Remaja. </w:t>
      </w:r>
      <w:r w:rsidRPr="00EC0141">
        <w:rPr>
          <w:rFonts w:ascii="Arial" w:hAnsi="Arial" w:cs="Arial"/>
          <w:i/>
          <w:iCs/>
          <w:noProof/>
          <w:sz w:val="20"/>
        </w:rPr>
        <w:t>Jurnal Penelitian Dan Pengabdian Kepada Masyarakat (JPPM)</w:t>
      </w:r>
      <w:r w:rsidRPr="00EC0141">
        <w:rPr>
          <w:rFonts w:ascii="Arial" w:hAnsi="Arial" w:cs="Arial"/>
          <w:noProof/>
          <w:sz w:val="20"/>
        </w:rPr>
        <w:t xml:space="preserve">, </w:t>
      </w:r>
      <w:r w:rsidRPr="00EC0141">
        <w:rPr>
          <w:rFonts w:ascii="Arial" w:hAnsi="Arial" w:cs="Arial"/>
          <w:i/>
          <w:iCs/>
          <w:noProof/>
          <w:sz w:val="20"/>
        </w:rPr>
        <w:t>2</w:t>
      </w:r>
      <w:r w:rsidRPr="00EC0141">
        <w:rPr>
          <w:rFonts w:ascii="Arial" w:hAnsi="Arial" w:cs="Arial"/>
          <w:noProof/>
          <w:sz w:val="20"/>
        </w:rPr>
        <w:t>(3), 405. https://doi.org/10.24198/jppm.v2i3.36796</w:t>
      </w:r>
    </w:p>
    <w:p w14:paraId="34B21463"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Manchikanti, L., Sanapati, J., Benyamin, R. M., Atluri, S., Kaye, A. D., &amp; Hirsch, J. A. (2018). Reframing the prevention strategies of the opioid crisis: Focusing on prescription opioids, fentanyl, and heroin epidemic. </w:t>
      </w:r>
      <w:r w:rsidRPr="00EC0141">
        <w:rPr>
          <w:rFonts w:ascii="Arial" w:hAnsi="Arial" w:cs="Arial"/>
          <w:i/>
          <w:iCs/>
          <w:noProof/>
          <w:sz w:val="20"/>
        </w:rPr>
        <w:t>Pain Physician</w:t>
      </w:r>
      <w:r w:rsidRPr="00EC0141">
        <w:rPr>
          <w:rFonts w:ascii="Arial" w:hAnsi="Arial" w:cs="Arial"/>
          <w:noProof/>
          <w:sz w:val="20"/>
        </w:rPr>
        <w:t xml:space="preserve">, </w:t>
      </w:r>
      <w:r w:rsidRPr="00EC0141">
        <w:rPr>
          <w:rFonts w:ascii="Arial" w:hAnsi="Arial" w:cs="Arial"/>
          <w:i/>
          <w:iCs/>
          <w:noProof/>
          <w:sz w:val="20"/>
        </w:rPr>
        <w:t>21</w:t>
      </w:r>
      <w:r w:rsidRPr="00EC0141">
        <w:rPr>
          <w:rFonts w:ascii="Arial" w:hAnsi="Arial" w:cs="Arial"/>
          <w:noProof/>
          <w:sz w:val="20"/>
        </w:rPr>
        <w:t>(4), 309–326. https://doi.org/10.36076/ppj.2018.4.309</w:t>
      </w:r>
    </w:p>
    <w:p w14:paraId="2EC4EE43"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Mardin, H., Hariana, H., &amp; Lasalewo, T. (2022). Sosialisasi Bahaya Penyalahgunaan Narkoba Bagi Peserta Didik SMP Negeri 4 Kwandang Kabupaten Gorontalo Utara. </w:t>
      </w:r>
      <w:r w:rsidRPr="00EC0141">
        <w:rPr>
          <w:rFonts w:ascii="Arial" w:hAnsi="Arial" w:cs="Arial"/>
          <w:i/>
          <w:iCs/>
          <w:noProof/>
          <w:sz w:val="20"/>
        </w:rPr>
        <w:t xml:space="preserve">LAMAHU: Jurnal </w:t>
      </w:r>
      <w:r w:rsidRPr="00EC0141">
        <w:rPr>
          <w:rFonts w:ascii="Arial" w:hAnsi="Arial" w:cs="Arial"/>
          <w:i/>
          <w:iCs/>
          <w:noProof/>
          <w:sz w:val="20"/>
        </w:rPr>
        <w:lastRenderedPageBreak/>
        <w:t>Pengabdian Masyarakat Terintegrasi</w:t>
      </w:r>
      <w:r w:rsidRPr="00EC0141">
        <w:rPr>
          <w:rFonts w:ascii="Arial" w:hAnsi="Arial" w:cs="Arial"/>
          <w:noProof/>
          <w:sz w:val="20"/>
        </w:rPr>
        <w:t xml:space="preserve">, </w:t>
      </w:r>
      <w:r w:rsidRPr="00EC0141">
        <w:rPr>
          <w:rFonts w:ascii="Arial" w:hAnsi="Arial" w:cs="Arial"/>
          <w:i/>
          <w:iCs/>
          <w:noProof/>
          <w:sz w:val="20"/>
        </w:rPr>
        <w:t>1</w:t>
      </w:r>
      <w:r w:rsidRPr="00EC0141">
        <w:rPr>
          <w:rFonts w:ascii="Arial" w:hAnsi="Arial" w:cs="Arial"/>
          <w:noProof/>
          <w:sz w:val="20"/>
        </w:rPr>
        <w:t>(1), 9–15. https://doi.org/10.34312/lamahu.v1i1.13438</w:t>
      </w:r>
    </w:p>
    <w:p w14:paraId="53F54114"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Miller-Perrin, C., &amp; Wurtele, S. K. (2017). Sex Trafficking and the Commercial Sexual Exploitation of Children. </w:t>
      </w:r>
      <w:r w:rsidRPr="00EC0141">
        <w:rPr>
          <w:rFonts w:ascii="Arial" w:hAnsi="Arial" w:cs="Arial"/>
          <w:i/>
          <w:iCs/>
          <w:noProof/>
          <w:sz w:val="20"/>
        </w:rPr>
        <w:t>Women and Therapy</w:t>
      </w:r>
      <w:r w:rsidRPr="00EC0141">
        <w:rPr>
          <w:rFonts w:ascii="Arial" w:hAnsi="Arial" w:cs="Arial"/>
          <w:noProof/>
          <w:sz w:val="20"/>
        </w:rPr>
        <w:t xml:space="preserve">, </w:t>
      </w:r>
      <w:r w:rsidRPr="00EC0141">
        <w:rPr>
          <w:rFonts w:ascii="Arial" w:hAnsi="Arial" w:cs="Arial"/>
          <w:i/>
          <w:iCs/>
          <w:noProof/>
          <w:sz w:val="20"/>
        </w:rPr>
        <w:t>40</w:t>
      </w:r>
      <w:r w:rsidRPr="00EC0141">
        <w:rPr>
          <w:rFonts w:ascii="Arial" w:hAnsi="Arial" w:cs="Arial"/>
          <w:noProof/>
          <w:sz w:val="20"/>
        </w:rPr>
        <w:t>(1–2), 123–151. https://doi.org/10.1080/02703149.2016.1210963</w:t>
      </w:r>
    </w:p>
    <w:p w14:paraId="02CE73B6"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Pradnyantari, M. R., Suryawan, I. G. B., &amp; Sujana, I. N. (2021). Penegakan Hukum terhadap Penyalahgunaan Narkotika. </w:t>
      </w:r>
      <w:r w:rsidRPr="00EC0141">
        <w:rPr>
          <w:rFonts w:ascii="Arial" w:hAnsi="Arial" w:cs="Arial"/>
          <w:i/>
          <w:iCs/>
          <w:noProof/>
          <w:sz w:val="20"/>
        </w:rPr>
        <w:t>Jurnal Preferensi Hukum</w:t>
      </w:r>
      <w:r w:rsidRPr="00EC0141">
        <w:rPr>
          <w:rFonts w:ascii="Arial" w:hAnsi="Arial" w:cs="Arial"/>
          <w:noProof/>
          <w:sz w:val="20"/>
        </w:rPr>
        <w:t xml:space="preserve">, </w:t>
      </w:r>
      <w:r w:rsidRPr="00EC0141">
        <w:rPr>
          <w:rFonts w:ascii="Arial" w:hAnsi="Arial" w:cs="Arial"/>
          <w:i/>
          <w:iCs/>
          <w:noProof/>
          <w:sz w:val="20"/>
        </w:rPr>
        <w:t>2</w:t>
      </w:r>
      <w:r w:rsidRPr="00EC0141">
        <w:rPr>
          <w:rFonts w:ascii="Arial" w:hAnsi="Arial" w:cs="Arial"/>
          <w:noProof/>
          <w:sz w:val="20"/>
        </w:rPr>
        <w:t>(1), 11–15. https://doi.org/10.22225/jph.2.1.3043.11-15</w:t>
      </w:r>
    </w:p>
    <w:p w14:paraId="4539BF9E"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Pramita, K. D., Mangku, D. G. S., &amp; Yuliartini, N. P. R. (2022). Penanggulangan Tindak Pidana Narkotika Pada Anak Di Kabupaten Buleleng. </w:t>
      </w:r>
      <w:r w:rsidRPr="00EC0141">
        <w:rPr>
          <w:rFonts w:ascii="Arial" w:hAnsi="Arial" w:cs="Arial"/>
          <w:i/>
          <w:iCs/>
          <w:noProof/>
          <w:sz w:val="20"/>
        </w:rPr>
        <w:t>Jurnal Komunitas Yustisia</w:t>
      </w:r>
      <w:r w:rsidRPr="00EC0141">
        <w:rPr>
          <w:rFonts w:ascii="Arial" w:hAnsi="Arial" w:cs="Arial"/>
          <w:noProof/>
          <w:sz w:val="20"/>
        </w:rPr>
        <w:t xml:space="preserve">, </w:t>
      </w:r>
      <w:r w:rsidRPr="00EC0141">
        <w:rPr>
          <w:rFonts w:ascii="Arial" w:hAnsi="Arial" w:cs="Arial"/>
          <w:i/>
          <w:iCs/>
          <w:noProof/>
          <w:sz w:val="20"/>
        </w:rPr>
        <w:t>5</w:t>
      </w:r>
      <w:r w:rsidRPr="00EC0141">
        <w:rPr>
          <w:rFonts w:ascii="Arial" w:hAnsi="Arial" w:cs="Arial"/>
          <w:noProof/>
          <w:sz w:val="20"/>
        </w:rPr>
        <w:t>(1), 28–37. https://doi.org/10.23887/jatayu.v5i1.45925</w:t>
      </w:r>
    </w:p>
    <w:p w14:paraId="5378FA93"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Pranawa, S., Humsona, R., &amp; Yuliani, S. (2019). Meningkatkan Pengetahuan Remaja Tentang Bahaya Penyalahgunaan Narkoba Dengan Peer Education Strategy. </w:t>
      </w:r>
      <w:r w:rsidRPr="00EC0141">
        <w:rPr>
          <w:rFonts w:ascii="Arial" w:hAnsi="Arial" w:cs="Arial"/>
          <w:i/>
          <w:iCs/>
          <w:noProof/>
          <w:sz w:val="20"/>
        </w:rPr>
        <w:t>Habitus: Jurnal Pendidikan, Sosiologi, &amp; Antropologi</w:t>
      </w:r>
      <w:r w:rsidRPr="00EC0141">
        <w:rPr>
          <w:rFonts w:ascii="Arial" w:hAnsi="Arial" w:cs="Arial"/>
          <w:noProof/>
          <w:sz w:val="20"/>
        </w:rPr>
        <w:t xml:space="preserve">, </w:t>
      </w:r>
      <w:r w:rsidRPr="00EC0141">
        <w:rPr>
          <w:rFonts w:ascii="Arial" w:hAnsi="Arial" w:cs="Arial"/>
          <w:i/>
          <w:iCs/>
          <w:noProof/>
          <w:sz w:val="20"/>
        </w:rPr>
        <w:t>2</w:t>
      </w:r>
      <w:r w:rsidRPr="00EC0141">
        <w:rPr>
          <w:rFonts w:ascii="Arial" w:hAnsi="Arial" w:cs="Arial"/>
          <w:noProof/>
          <w:sz w:val="20"/>
        </w:rPr>
        <w:t>(2), 183. https://doi.org/10.20961/habitus.v2i2.28790</w:t>
      </w:r>
    </w:p>
    <w:p w14:paraId="6331B2A4"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Prasetyo, A. (2019). Jaringan Peredaran Narkoba. </w:t>
      </w:r>
      <w:r w:rsidRPr="00EC0141">
        <w:rPr>
          <w:rFonts w:ascii="Arial" w:hAnsi="Arial" w:cs="Arial"/>
          <w:i/>
          <w:iCs/>
          <w:noProof/>
          <w:sz w:val="20"/>
        </w:rPr>
        <w:t>Unair.Ac.Id</w:t>
      </w:r>
      <w:r w:rsidRPr="00EC0141">
        <w:rPr>
          <w:rFonts w:ascii="Arial" w:hAnsi="Arial" w:cs="Arial"/>
          <w:noProof/>
          <w:sz w:val="20"/>
        </w:rPr>
        <w:t xml:space="preserve">, </w:t>
      </w:r>
      <w:r w:rsidRPr="00EC0141">
        <w:rPr>
          <w:rFonts w:ascii="Arial" w:hAnsi="Arial" w:cs="Arial"/>
          <w:i/>
          <w:iCs/>
          <w:noProof/>
          <w:sz w:val="20"/>
        </w:rPr>
        <w:t>4</w:t>
      </w:r>
      <w:r w:rsidRPr="00EC0141">
        <w:rPr>
          <w:rFonts w:ascii="Arial" w:hAnsi="Arial" w:cs="Arial"/>
          <w:noProof/>
          <w:sz w:val="20"/>
        </w:rPr>
        <w:t>, 1–15.</w:t>
      </w:r>
    </w:p>
    <w:p w14:paraId="049F243C"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Saefulloh, A. (2018). Muhasabah Sebagai Upaya Rehabilitasi Eks-Pecandu Narkoba Di Yayasan Suci Hati Padang. </w:t>
      </w:r>
      <w:r w:rsidRPr="00EC0141">
        <w:rPr>
          <w:rFonts w:ascii="Arial" w:hAnsi="Arial" w:cs="Arial"/>
          <w:i/>
          <w:iCs/>
          <w:noProof/>
          <w:sz w:val="20"/>
        </w:rPr>
        <w:t>Nidhomul Haq: Jurnal Manajemen Pendidikan Islam</w:t>
      </w:r>
      <w:r w:rsidRPr="00EC0141">
        <w:rPr>
          <w:rFonts w:ascii="Arial" w:hAnsi="Arial" w:cs="Arial"/>
          <w:noProof/>
          <w:sz w:val="20"/>
        </w:rPr>
        <w:t xml:space="preserve">, </w:t>
      </w:r>
      <w:r w:rsidRPr="00EC0141">
        <w:rPr>
          <w:rFonts w:ascii="Arial" w:hAnsi="Arial" w:cs="Arial"/>
          <w:i/>
          <w:iCs/>
          <w:noProof/>
          <w:sz w:val="20"/>
        </w:rPr>
        <w:t>3</w:t>
      </w:r>
      <w:r w:rsidRPr="00EC0141">
        <w:rPr>
          <w:rFonts w:ascii="Arial" w:hAnsi="Arial" w:cs="Arial"/>
          <w:noProof/>
          <w:sz w:val="20"/>
        </w:rPr>
        <w:t>(1), 44–56. https://doi.org/10.31538/nidhomulhaq.v3i1.101</w:t>
      </w:r>
    </w:p>
    <w:p w14:paraId="683DBF6D"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Sanchez, G. (2018). ‘Circuit Children’: The experiences and perspectives of children engaged in migrant smuggling facilitation on the US-Mexico border. </w:t>
      </w:r>
      <w:r w:rsidRPr="00EC0141">
        <w:rPr>
          <w:rFonts w:ascii="Arial" w:hAnsi="Arial" w:cs="Arial"/>
          <w:i/>
          <w:iCs/>
          <w:noProof/>
          <w:sz w:val="20"/>
        </w:rPr>
        <w:t>Anti-Trafficking Review</w:t>
      </w:r>
      <w:r w:rsidRPr="00EC0141">
        <w:rPr>
          <w:rFonts w:ascii="Arial" w:hAnsi="Arial" w:cs="Arial"/>
          <w:noProof/>
          <w:sz w:val="20"/>
        </w:rPr>
        <w:t xml:space="preserve">, </w:t>
      </w:r>
      <w:r w:rsidRPr="00EC0141">
        <w:rPr>
          <w:rFonts w:ascii="Arial" w:hAnsi="Arial" w:cs="Arial"/>
          <w:i/>
          <w:iCs/>
          <w:noProof/>
          <w:sz w:val="20"/>
        </w:rPr>
        <w:t>11</w:t>
      </w:r>
      <w:r w:rsidRPr="00EC0141">
        <w:rPr>
          <w:rFonts w:ascii="Arial" w:hAnsi="Arial" w:cs="Arial"/>
          <w:noProof/>
          <w:sz w:val="20"/>
        </w:rPr>
        <w:t>, 103–119. https://doi.org/10.14197/atr.201218117</w:t>
      </w:r>
    </w:p>
    <w:p w14:paraId="23E5AA31"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Saputra, A., &amp; Slamet, S. (2016). Upaya penanggulangan peredaran dan penyalahgunaan narkoba di kabupaten sukoharjo. </w:t>
      </w:r>
      <w:r w:rsidRPr="00EC0141">
        <w:rPr>
          <w:rFonts w:ascii="Arial" w:hAnsi="Arial" w:cs="Arial"/>
          <w:i/>
          <w:iCs/>
          <w:noProof/>
          <w:sz w:val="20"/>
        </w:rPr>
        <w:t>Recidive</w:t>
      </w:r>
      <w:r w:rsidRPr="00EC0141">
        <w:rPr>
          <w:rFonts w:ascii="Arial" w:hAnsi="Arial" w:cs="Arial"/>
          <w:noProof/>
          <w:sz w:val="20"/>
        </w:rPr>
        <w:t xml:space="preserve">, </w:t>
      </w:r>
      <w:r w:rsidRPr="00EC0141">
        <w:rPr>
          <w:rFonts w:ascii="Arial" w:hAnsi="Arial" w:cs="Arial"/>
          <w:i/>
          <w:iCs/>
          <w:noProof/>
          <w:sz w:val="20"/>
        </w:rPr>
        <w:t>5</w:t>
      </w:r>
      <w:r w:rsidRPr="00EC0141">
        <w:rPr>
          <w:rFonts w:ascii="Arial" w:hAnsi="Arial" w:cs="Arial"/>
          <w:noProof/>
          <w:sz w:val="20"/>
        </w:rPr>
        <w:t>(2), 273–286.</w:t>
      </w:r>
    </w:p>
    <w:p w14:paraId="3CBEDB5D"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Sood, M., Puttrawandi, L., &amp; Rizki, K. (2021). Upaya Pencegahan Peredaran Narkoba Dalam Rangka Melindungi Masyarakat Di Kabupaten Lombok Tengah Nusa Tenggara Barat. </w:t>
      </w:r>
      <w:r w:rsidRPr="00EC0141">
        <w:rPr>
          <w:rFonts w:ascii="Arial" w:hAnsi="Arial" w:cs="Arial"/>
          <w:i/>
          <w:iCs/>
          <w:noProof/>
          <w:sz w:val="20"/>
        </w:rPr>
        <w:t>Jurnal Warta Desa (JWD)</w:t>
      </w:r>
      <w:r w:rsidRPr="00EC0141">
        <w:rPr>
          <w:rFonts w:ascii="Arial" w:hAnsi="Arial" w:cs="Arial"/>
          <w:noProof/>
          <w:sz w:val="20"/>
        </w:rPr>
        <w:t xml:space="preserve">, </w:t>
      </w:r>
      <w:r w:rsidRPr="00EC0141">
        <w:rPr>
          <w:rFonts w:ascii="Arial" w:hAnsi="Arial" w:cs="Arial"/>
          <w:i/>
          <w:iCs/>
          <w:noProof/>
          <w:sz w:val="20"/>
        </w:rPr>
        <w:t>3</w:t>
      </w:r>
      <w:r w:rsidRPr="00EC0141">
        <w:rPr>
          <w:rFonts w:ascii="Arial" w:hAnsi="Arial" w:cs="Arial"/>
          <w:noProof/>
          <w:sz w:val="20"/>
        </w:rPr>
        <w:t>(2), 91–96. https://doi.org/10.29303/jwd.v3i2.129</w:t>
      </w:r>
    </w:p>
    <w:p w14:paraId="00F25628"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Stambøl, E. M. (2019). The Rise of Crimefare Europe: Fighting Migrant Smuggling in West Africa. </w:t>
      </w:r>
      <w:r w:rsidRPr="00EC0141">
        <w:rPr>
          <w:rFonts w:ascii="Arial" w:hAnsi="Arial" w:cs="Arial"/>
          <w:i/>
          <w:iCs/>
          <w:noProof/>
          <w:sz w:val="20"/>
        </w:rPr>
        <w:t>European Foreign Affairs Review</w:t>
      </w:r>
      <w:r w:rsidRPr="00EC0141">
        <w:rPr>
          <w:rFonts w:ascii="Arial" w:hAnsi="Arial" w:cs="Arial"/>
          <w:noProof/>
          <w:sz w:val="20"/>
        </w:rPr>
        <w:t xml:space="preserve">, </w:t>
      </w:r>
      <w:r w:rsidRPr="00EC0141">
        <w:rPr>
          <w:rFonts w:ascii="Arial" w:hAnsi="Arial" w:cs="Arial"/>
          <w:i/>
          <w:iCs/>
          <w:noProof/>
          <w:sz w:val="20"/>
        </w:rPr>
        <w:t>24</w:t>
      </w:r>
      <w:r w:rsidRPr="00EC0141">
        <w:rPr>
          <w:rFonts w:ascii="Arial" w:hAnsi="Arial" w:cs="Arial"/>
          <w:noProof/>
          <w:sz w:val="20"/>
        </w:rPr>
        <w:t>(3), 287–307. https://doi.org/10.54648/EERR2019026</w:t>
      </w:r>
    </w:p>
    <w:p w14:paraId="6BDFE810"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Wasserman, D., Iosue, M., Wuestefeld, A., &amp; Carli, V. (2020). Adaptation of evidence-based suicide prevention strategies during and after the COVID-19 pandemic. </w:t>
      </w:r>
      <w:r w:rsidRPr="00EC0141">
        <w:rPr>
          <w:rFonts w:ascii="Arial" w:hAnsi="Arial" w:cs="Arial"/>
          <w:i/>
          <w:iCs/>
          <w:noProof/>
          <w:sz w:val="20"/>
        </w:rPr>
        <w:t>World Psychiatry</w:t>
      </w:r>
      <w:r w:rsidRPr="00EC0141">
        <w:rPr>
          <w:rFonts w:ascii="Arial" w:hAnsi="Arial" w:cs="Arial"/>
          <w:noProof/>
          <w:sz w:val="20"/>
        </w:rPr>
        <w:t xml:space="preserve">, </w:t>
      </w:r>
      <w:r w:rsidRPr="00EC0141">
        <w:rPr>
          <w:rFonts w:ascii="Arial" w:hAnsi="Arial" w:cs="Arial"/>
          <w:i/>
          <w:iCs/>
          <w:noProof/>
          <w:sz w:val="20"/>
        </w:rPr>
        <w:t>19</w:t>
      </w:r>
      <w:r w:rsidRPr="00EC0141">
        <w:rPr>
          <w:rFonts w:ascii="Arial" w:hAnsi="Arial" w:cs="Arial"/>
          <w:noProof/>
          <w:sz w:val="20"/>
        </w:rPr>
        <w:t>(3), 294–306. https://doi.org/10.1002/wps.20801</w:t>
      </w:r>
    </w:p>
    <w:p w14:paraId="07D69C1D" w14:textId="77777777" w:rsidR="00EC0141" w:rsidRPr="00EC0141" w:rsidRDefault="00EC0141" w:rsidP="00EC0141">
      <w:pPr>
        <w:widowControl w:val="0"/>
        <w:autoSpaceDE w:val="0"/>
        <w:autoSpaceDN w:val="0"/>
        <w:adjustRightInd w:val="0"/>
        <w:spacing w:after="0" w:line="276" w:lineRule="auto"/>
        <w:ind w:left="480" w:hanging="480"/>
        <w:jc w:val="both"/>
        <w:rPr>
          <w:rFonts w:ascii="Arial" w:hAnsi="Arial" w:cs="Arial"/>
          <w:noProof/>
          <w:sz w:val="20"/>
        </w:rPr>
      </w:pPr>
      <w:r w:rsidRPr="00EC0141">
        <w:rPr>
          <w:rFonts w:ascii="Arial" w:hAnsi="Arial" w:cs="Arial"/>
          <w:noProof/>
          <w:sz w:val="20"/>
        </w:rPr>
        <w:t xml:space="preserve">Widayati, W., &amp; Winanto, W. (2021). PENYULUHAN HUKUM TENTANG BAHAYA NARKOBA SEBAGAI UPAYA PREVENTIF PEREDARAN DAN PENYALAHGUNAANNYA (Desa Gebangsari, Kecamatan Genuk, Kota Semarang). </w:t>
      </w:r>
      <w:r w:rsidRPr="00EC0141">
        <w:rPr>
          <w:rFonts w:ascii="Arial" w:hAnsi="Arial" w:cs="Arial"/>
          <w:i/>
          <w:iCs/>
          <w:noProof/>
          <w:sz w:val="20"/>
        </w:rPr>
        <w:t>International Journal of Law Society Services</w:t>
      </w:r>
      <w:r w:rsidRPr="00EC0141">
        <w:rPr>
          <w:rFonts w:ascii="Arial" w:hAnsi="Arial" w:cs="Arial"/>
          <w:noProof/>
          <w:sz w:val="20"/>
        </w:rPr>
        <w:t xml:space="preserve">, </w:t>
      </w:r>
      <w:r w:rsidRPr="00EC0141">
        <w:rPr>
          <w:rFonts w:ascii="Arial" w:hAnsi="Arial" w:cs="Arial"/>
          <w:i/>
          <w:iCs/>
          <w:noProof/>
          <w:sz w:val="20"/>
        </w:rPr>
        <w:t>1</w:t>
      </w:r>
      <w:r w:rsidRPr="00EC0141">
        <w:rPr>
          <w:rFonts w:ascii="Arial" w:hAnsi="Arial" w:cs="Arial"/>
          <w:noProof/>
          <w:sz w:val="20"/>
        </w:rPr>
        <w:t>(1), 24. https://doi.org/10.26532/ijlss.v1i1.14738</w:t>
      </w:r>
    </w:p>
    <w:p w14:paraId="659352F2" w14:textId="14BA9462" w:rsidR="00EC0141" w:rsidRDefault="00EC0141" w:rsidP="00EC0141">
      <w:pPr>
        <w:pBdr>
          <w:top w:val="nil"/>
          <w:left w:val="nil"/>
          <w:bottom w:val="nil"/>
          <w:right w:val="nil"/>
          <w:between w:val="nil"/>
        </w:pBdr>
        <w:spacing w:after="0" w:line="276" w:lineRule="auto"/>
        <w:ind w:left="426" w:hanging="426"/>
        <w:jc w:val="both"/>
        <w:rPr>
          <w:rFonts w:ascii="Arial" w:eastAsia="Arial" w:hAnsi="Arial" w:cs="Arial"/>
          <w:b/>
          <w:color w:val="000000"/>
          <w:sz w:val="20"/>
          <w:szCs w:val="20"/>
        </w:rPr>
      </w:pPr>
      <w:r>
        <w:rPr>
          <w:rFonts w:ascii="Arial" w:eastAsia="Arial" w:hAnsi="Arial" w:cs="Arial"/>
          <w:b/>
          <w:color w:val="000000"/>
          <w:sz w:val="20"/>
          <w:szCs w:val="20"/>
        </w:rPr>
        <w:fldChar w:fldCharType="end"/>
      </w:r>
    </w:p>
    <w:p w14:paraId="1552E745" w14:textId="77777777" w:rsidR="00483189" w:rsidRDefault="00483189">
      <w:pPr>
        <w:widowControl w:val="0"/>
        <w:pBdr>
          <w:top w:val="nil"/>
          <w:left w:val="nil"/>
          <w:bottom w:val="nil"/>
          <w:right w:val="nil"/>
          <w:between w:val="nil"/>
        </w:pBdr>
        <w:spacing w:after="0"/>
        <w:ind w:left="480" w:hanging="480"/>
        <w:jc w:val="both"/>
        <w:rPr>
          <w:rFonts w:ascii="Arial" w:eastAsia="Arial" w:hAnsi="Arial" w:cs="Arial"/>
          <w:color w:val="000000"/>
          <w:sz w:val="18"/>
          <w:szCs w:val="18"/>
        </w:rPr>
      </w:pPr>
      <w:bookmarkStart w:id="1" w:name="bookmark=id.1fob9te" w:colFirst="0" w:colLast="0"/>
      <w:bookmarkEnd w:id="1"/>
    </w:p>
    <w:p w14:paraId="287F10BE" w14:textId="77777777" w:rsidR="00483189" w:rsidRDefault="00483189">
      <w:pPr>
        <w:widowControl w:val="0"/>
        <w:pBdr>
          <w:top w:val="nil"/>
          <w:left w:val="nil"/>
          <w:bottom w:val="nil"/>
          <w:right w:val="nil"/>
          <w:between w:val="nil"/>
        </w:pBdr>
        <w:spacing w:after="0"/>
        <w:ind w:left="480" w:hanging="480"/>
        <w:jc w:val="both"/>
        <w:rPr>
          <w:rFonts w:ascii="Arial" w:eastAsia="Arial" w:hAnsi="Arial" w:cs="Arial"/>
          <w:color w:val="000000"/>
          <w:sz w:val="18"/>
          <w:szCs w:val="18"/>
        </w:rPr>
      </w:pPr>
    </w:p>
    <w:p w14:paraId="2DB21839" w14:textId="77777777" w:rsidR="00483189" w:rsidRDefault="00031F18">
      <w:pPr>
        <w:widowControl w:val="0"/>
        <w:pBdr>
          <w:top w:val="nil"/>
          <w:left w:val="nil"/>
          <w:bottom w:val="nil"/>
          <w:right w:val="nil"/>
          <w:between w:val="nil"/>
        </w:pBdr>
        <w:spacing w:after="0"/>
        <w:ind w:left="480" w:hanging="480"/>
        <w:jc w:val="both"/>
        <w:rPr>
          <w:rFonts w:ascii="Arial" w:eastAsia="Arial" w:hAnsi="Arial" w:cs="Arial"/>
          <w:color w:val="000000"/>
          <w:sz w:val="18"/>
          <w:szCs w:val="18"/>
        </w:rPr>
      </w:pPr>
      <w:r>
        <w:rPr>
          <w:rFonts w:ascii="Arial" w:eastAsia="Arial" w:hAnsi="Arial" w:cs="Arial"/>
          <w:color w:val="000000"/>
          <w:sz w:val="18"/>
          <w:szCs w:val="18"/>
        </w:rPr>
        <w:t xml:space="preserve"> </w:t>
      </w:r>
    </w:p>
    <w:tbl>
      <w:tblPr>
        <w:tblStyle w:val="a3"/>
        <w:tblW w:w="8909" w:type="dxa"/>
        <w:jc w:val="center"/>
        <w:tblLayout w:type="fixed"/>
        <w:tblLook w:val="0400" w:firstRow="0" w:lastRow="0" w:firstColumn="0" w:lastColumn="0" w:noHBand="0" w:noVBand="1"/>
      </w:tblPr>
      <w:tblGrid>
        <w:gridCol w:w="1760"/>
        <w:gridCol w:w="7149"/>
      </w:tblGrid>
      <w:tr w:rsidR="00483189" w14:paraId="29B71520" w14:textId="77777777">
        <w:trPr>
          <w:jc w:val="center"/>
        </w:trPr>
        <w:tc>
          <w:tcPr>
            <w:tcW w:w="1760" w:type="dxa"/>
            <w:shd w:val="clear" w:color="auto" w:fill="auto"/>
            <w:vAlign w:val="center"/>
          </w:tcPr>
          <w:p w14:paraId="24581C53" w14:textId="77777777" w:rsidR="00483189" w:rsidRDefault="00031F18">
            <w:pPr>
              <w:widowControl w:val="0"/>
              <w:pBdr>
                <w:top w:val="nil"/>
                <w:left w:val="nil"/>
                <w:bottom w:val="nil"/>
                <w:right w:val="nil"/>
                <w:between w:val="nil"/>
              </w:pBdr>
              <w:spacing w:after="0"/>
              <w:ind w:left="480" w:hanging="480"/>
              <w:jc w:val="both"/>
              <w:rPr>
                <w:rFonts w:ascii="Arial" w:eastAsia="Arial" w:hAnsi="Arial" w:cs="Arial"/>
                <w:color w:val="000000"/>
                <w:sz w:val="18"/>
                <w:szCs w:val="18"/>
              </w:rPr>
            </w:pPr>
            <w:r>
              <w:rPr>
                <w:rFonts w:ascii="Arial" w:eastAsia="Arial" w:hAnsi="Arial" w:cs="Arial"/>
                <w:noProof/>
                <w:color w:val="000000"/>
                <w:sz w:val="18"/>
                <w:szCs w:val="18"/>
                <w:lang w:eastAsia="en-US"/>
              </w:rPr>
              <w:drawing>
                <wp:inline distT="0" distB="0" distL="0" distR="0" wp14:anchorId="431D5174" wp14:editId="56CAB21F">
                  <wp:extent cx="990826" cy="352794"/>
                  <wp:effectExtent l="0" t="0" r="0" b="0"/>
                  <wp:docPr id="10" name="image2.png" descr="Lisensi Creative Commons"/>
                  <wp:cNvGraphicFramePr/>
                  <a:graphic xmlns:a="http://schemas.openxmlformats.org/drawingml/2006/main">
                    <a:graphicData uri="http://schemas.openxmlformats.org/drawingml/2006/picture">
                      <pic:pic xmlns:pic="http://schemas.openxmlformats.org/drawingml/2006/picture">
                        <pic:nvPicPr>
                          <pic:cNvPr id="0" name="image2.png" descr="Lisensi Creative Commons"/>
                          <pic:cNvPicPr preferRelativeResize="0"/>
                        </pic:nvPicPr>
                        <pic:blipFill>
                          <a:blip r:embed="rId16"/>
                          <a:srcRect/>
                          <a:stretch>
                            <a:fillRect/>
                          </a:stretch>
                        </pic:blipFill>
                        <pic:spPr>
                          <a:xfrm>
                            <a:off x="0" y="0"/>
                            <a:ext cx="990826" cy="352794"/>
                          </a:xfrm>
                          <a:prstGeom prst="rect">
                            <a:avLst/>
                          </a:prstGeom>
                          <a:ln/>
                        </pic:spPr>
                      </pic:pic>
                    </a:graphicData>
                  </a:graphic>
                </wp:inline>
              </w:drawing>
            </w:r>
          </w:p>
        </w:tc>
        <w:tc>
          <w:tcPr>
            <w:tcW w:w="7149" w:type="dxa"/>
            <w:shd w:val="clear" w:color="auto" w:fill="auto"/>
            <w:vAlign w:val="center"/>
          </w:tcPr>
          <w:p w14:paraId="634358EB" w14:textId="066A7CDB" w:rsidR="00483189" w:rsidRDefault="00031F18">
            <w:pPr>
              <w:widowControl w:val="0"/>
              <w:pBdr>
                <w:top w:val="nil"/>
                <w:left w:val="nil"/>
                <w:bottom w:val="nil"/>
                <w:right w:val="nil"/>
                <w:between w:val="nil"/>
              </w:pBdr>
              <w:spacing w:after="0"/>
              <w:ind w:left="480" w:hanging="480"/>
              <w:jc w:val="both"/>
              <w:rPr>
                <w:rFonts w:ascii="Arial" w:eastAsia="Arial" w:hAnsi="Arial" w:cs="Arial"/>
                <w:color w:val="000000"/>
                <w:sz w:val="18"/>
                <w:szCs w:val="18"/>
              </w:rPr>
            </w:pPr>
            <w:r>
              <w:rPr>
                <w:rFonts w:ascii="Arial" w:eastAsia="Arial" w:hAnsi="Arial" w:cs="Arial"/>
                <w:color w:val="000000"/>
                <w:sz w:val="18"/>
                <w:szCs w:val="18"/>
              </w:rPr>
              <w:t>© 202</w:t>
            </w:r>
            <w:r w:rsidR="00DA00D0">
              <w:rPr>
                <w:rFonts w:ascii="Arial" w:eastAsia="Arial" w:hAnsi="Arial" w:cs="Arial"/>
                <w:color w:val="000000"/>
                <w:sz w:val="18"/>
                <w:szCs w:val="18"/>
              </w:rPr>
              <w:t>5</w:t>
            </w:r>
            <w:r>
              <w:rPr>
                <w:rFonts w:ascii="Arial" w:eastAsia="Arial" w:hAnsi="Arial" w:cs="Arial"/>
                <w:color w:val="000000"/>
                <w:sz w:val="18"/>
                <w:szCs w:val="18"/>
              </w:rPr>
              <w:t xml:space="preserve"> by the authors. Submitted for possible open access publication under the terms and conditions of the Creative Commons Attribution (CC BY SA) license (https://creativecommons.org/licenses/by-sa/3.0/).</w:t>
            </w:r>
          </w:p>
        </w:tc>
      </w:tr>
    </w:tbl>
    <w:p w14:paraId="6FB239B9" w14:textId="77777777" w:rsidR="00483189" w:rsidRDefault="00483189">
      <w:pPr>
        <w:rPr>
          <w:rFonts w:ascii="Arial" w:eastAsia="Arial" w:hAnsi="Arial" w:cs="Arial"/>
        </w:rPr>
      </w:pPr>
    </w:p>
    <w:sectPr w:rsidR="00483189" w:rsidSect="009B48B5">
      <w:headerReference w:type="default" r:id="rId17"/>
      <w:footerReference w:type="default" r:id="rId18"/>
      <w:headerReference w:type="first" r:id="rId19"/>
      <w:footerReference w:type="first" r:id="rId20"/>
      <w:pgSz w:w="11906" w:h="16838"/>
      <w:pgMar w:top="1701" w:right="1701" w:bottom="1701" w:left="1701" w:header="425"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311BD" w14:textId="77777777" w:rsidR="00214987" w:rsidRDefault="00214987">
      <w:pPr>
        <w:spacing w:after="0" w:line="240" w:lineRule="auto"/>
      </w:pPr>
      <w:r>
        <w:separator/>
      </w:r>
    </w:p>
  </w:endnote>
  <w:endnote w:type="continuationSeparator" w:id="0">
    <w:p w14:paraId="0AE6BABD" w14:textId="77777777" w:rsidR="00214987" w:rsidRDefault="00214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2D8BB9DF-D0B0-F84C-AB2C-B6AB3EB6F8F9}"/>
  </w:font>
  <w:font w:name="Calibri">
    <w:panose1 w:val="020F0502020204030204"/>
    <w:charset w:val="00"/>
    <w:family w:val="swiss"/>
    <w:pitch w:val="variable"/>
    <w:sig w:usb0="E4002EFF" w:usb1="C200247B" w:usb2="00000009" w:usb3="00000000" w:csb0="000001FF" w:csb1="00000000"/>
    <w:embedRegular r:id="rId3" w:fontKey="{4B0C74DD-D0B3-4945-AAA0-FCC593B32D4D}"/>
    <w:embedBold r:id="rId4" w:fontKey="{A34ECDAF-B4FE-0943-BFBF-88830B3F1224}"/>
    <w:embedItalic r:id="rId5" w:fontKey="{FF531070-ACC7-DA42-BF36-DB1FFE10DF48}"/>
  </w:font>
  <w:font w:name="Times New Roman">
    <w:panose1 w:val="02020603050405020304"/>
    <w:charset w:val="00"/>
    <w:family w:val="roman"/>
    <w:pitch w:val="variable"/>
    <w:sig w:usb0="E0002EFF" w:usb1="C000785B" w:usb2="00000009" w:usb3="00000000" w:csb0="000001FF" w:csb1="00000000"/>
    <w:embedRegular r:id="rId6" w:fontKey="{9E3C63FF-28AA-A646-8D35-F7894E3F7CFC}"/>
    <w:embedBold r:id="rId7" w:fontKey="{18E6C857-4C55-774E-B12A-2CFDE03A4BEF}"/>
    <w:embedItalic r:id="rId8" w:fontKey="{ECB4EC22-A74E-A342-9AF1-C299372B6036}"/>
  </w:font>
  <w:font w:name="Palatino Linotype">
    <w:panose1 w:val="02040502050505030304"/>
    <w:charset w:val="00"/>
    <w:family w:val="roman"/>
    <w:pitch w:val="variable"/>
    <w:sig w:usb0="E0000287" w:usb1="40000013" w:usb2="00000000" w:usb3="00000000" w:csb0="0000019F" w:csb1="00000000"/>
    <w:embedRegular r:id="rId9" w:fontKey="{347D24F3-CA6F-0643-8C81-F7772AF7FED3}"/>
    <w:embedBold r:id="rId10" w:fontKey="{530CB1FC-C3F3-6C46-A27D-B948056FE57B}"/>
    <w:embedItalic r:id="rId11" w:fontKey="{44C63A5F-77B7-4E4B-A3B1-DB342F75A52F}"/>
  </w:font>
  <w:font w:name="Segoe UI">
    <w:panose1 w:val="020B0502040204020203"/>
    <w:charset w:val="00"/>
    <w:family w:val="swiss"/>
    <w:pitch w:val="variable"/>
    <w:sig w:usb0="E4002EFF" w:usb1="C000E47F" w:usb2="00000009" w:usb3="00000000" w:csb0="000001FF" w:csb1="00000000"/>
    <w:embedRegular r:id="rId12" w:fontKey="{ABB72832-F60E-9943-B8E0-CABEA01116C9}"/>
  </w:font>
  <w:font w:name="Georgia">
    <w:panose1 w:val="02040502050405020303"/>
    <w:charset w:val="00"/>
    <w:family w:val="roman"/>
    <w:pitch w:val="variable"/>
    <w:sig w:usb0="00000287" w:usb1="00000000" w:usb2="00000000" w:usb3="00000000" w:csb0="0000009F" w:csb1="00000000"/>
    <w:embedRegular r:id="rId13" w:fontKey="{506F85E3-29A8-F54F-B7B7-B43F3AF970CD}"/>
    <w:embedItalic r:id="rId14" w:fontKey="{79674220-7480-D347-8EE4-AF0FBD9AC588}"/>
  </w:font>
  <w:font w:name="Arial">
    <w:panose1 w:val="020B0604020202020204"/>
    <w:charset w:val="00"/>
    <w:family w:val="swiss"/>
    <w:pitch w:val="variable"/>
    <w:sig w:usb0="E0002EFF" w:usb1="C000785B" w:usb2="00000009" w:usb3="00000000" w:csb0="000001FF" w:csb1="00000000"/>
    <w:embedRegular r:id="rId15" w:fontKey="{658A1BB8-3636-484D-830F-19D08DFB99CB}"/>
    <w:embedBold r:id="rId16" w:fontKey="{4B36E60E-D78D-7B49-82AE-EDFA18C16CC1}"/>
    <w:embedItalic r:id="rId17" w:fontKey="{5F4201A6-0FB1-654A-8371-9B45BE2665D8}"/>
    <w:embedBoldItalic r:id="rId18" w:fontKey="{CFC52A6B-4613-7F49-8941-D16CA12A4762}"/>
  </w:font>
  <w:font w:name="MS Gothic">
    <w:altName w:val="ＭＳ ゴシック"/>
    <w:panose1 w:val="020B0609070205080204"/>
    <w:charset w:val="80"/>
    <w:family w:val="modern"/>
    <w:pitch w:val="fixed"/>
    <w:sig w:usb0="E00002FF" w:usb1="6AC7FDFB" w:usb2="08000012" w:usb3="00000000" w:csb0="0002009F" w:csb1="00000000"/>
    <w:embedRegular r:id="rId19" w:subsetted="1" w:fontKey="{98D7E697-6714-534B-B9F3-FFC840631521}"/>
  </w:font>
  <w:font w:name="Calibri Light">
    <w:panose1 w:val="020F0302020204030204"/>
    <w:charset w:val="00"/>
    <w:family w:val="swiss"/>
    <w:pitch w:val="variable"/>
    <w:sig w:usb0="E4002EFF" w:usb1="C200247B" w:usb2="00000009" w:usb3="00000000" w:csb0="000001FF" w:csb1="00000000"/>
    <w:embedRegular r:id="rId20" w:fontKey="{10E8186C-CB5C-5246-91F2-83048BA4D0B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70F89" w14:textId="77777777" w:rsidR="00EB0B94" w:rsidRDefault="00EB0B94" w:rsidP="00EB0B94">
    <w:pPr>
      <w:pBdr>
        <w:top w:val="nil"/>
        <w:left w:val="nil"/>
        <w:bottom w:val="nil"/>
        <w:right w:val="nil"/>
        <w:between w:val="nil"/>
      </w:pBdr>
      <w:spacing w:after="120"/>
      <w:jc w:val="both"/>
      <w:rPr>
        <w:rFonts w:ascii="Palatino Linotype" w:eastAsia="Arial" w:hAnsi="Palatino Linotype" w:cs="Arial"/>
        <w:b/>
        <w:color w:val="000000"/>
        <w:sz w:val="16"/>
        <w:szCs w:val="16"/>
      </w:rPr>
    </w:pPr>
  </w:p>
  <w:p w14:paraId="7D49FD83" w14:textId="3D1E8452" w:rsidR="00EB0B94" w:rsidRPr="00EB0B94" w:rsidRDefault="00EB0B94" w:rsidP="00EB0B94">
    <w:pPr>
      <w:pBdr>
        <w:top w:val="nil"/>
        <w:left w:val="nil"/>
        <w:bottom w:val="nil"/>
        <w:right w:val="nil"/>
        <w:between w:val="nil"/>
      </w:pBdr>
      <w:spacing w:after="120"/>
      <w:jc w:val="both"/>
      <w:rPr>
        <w:rFonts w:ascii="Palatino Linotype" w:eastAsia="Arial" w:hAnsi="Palatino Linotype" w:cs="Arial"/>
        <w:bCs/>
        <w:i/>
        <w:iCs/>
        <w:color w:val="000000"/>
        <w:sz w:val="16"/>
        <w:szCs w:val="16"/>
      </w:rPr>
    </w:pPr>
    <w:proofErr w:type="spellStart"/>
    <w:r w:rsidRPr="00EB0B94">
      <w:rPr>
        <w:rFonts w:ascii="Palatino Linotype" w:eastAsia="Arial" w:hAnsi="Palatino Linotype" w:cs="Arial"/>
        <w:bCs/>
        <w:i/>
        <w:iCs/>
        <w:color w:val="000000"/>
        <w:sz w:val="16"/>
        <w:szCs w:val="16"/>
      </w:rPr>
      <w:t>Renni</w:t>
    </w:r>
    <w:proofErr w:type="spellEnd"/>
    <w:r w:rsidRPr="00EB0B94">
      <w:rPr>
        <w:rFonts w:ascii="Palatino Linotype" w:eastAsia="Arial" w:hAnsi="Palatino Linotype" w:cs="Arial"/>
        <w:bCs/>
        <w:i/>
        <w:iCs/>
        <w:color w:val="000000"/>
        <w:sz w:val="16"/>
        <w:szCs w:val="16"/>
      </w:rPr>
      <w:t xml:space="preserve"> </w:t>
    </w:r>
    <w:proofErr w:type="spellStart"/>
    <w:r w:rsidRPr="00EB0B94">
      <w:rPr>
        <w:rFonts w:ascii="Palatino Linotype" w:eastAsia="Arial" w:hAnsi="Palatino Linotype" w:cs="Arial"/>
        <w:bCs/>
        <w:i/>
        <w:iCs/>
        <w:color w:val="000000"/>
        <w:sz w:val="16"/>
        <w:szCs w:val="16"/>
      </w:rPr>
      <w:t>Sartika</w:t>
    </w:r>
    <w:proofErr w:type="spellEnd"/>
    <w:r w:rsidRPr="00EB0B94">
      <w:rPr>
        <w:rFonts w:ascii="Palatino Linotype" w:eastAsia="Arial" w:hAnsi="Palatino Linotype" w:cs="Arial"/>
        <w:bCs/>
        <w:i/>
        <w:iCs/>
        <w:color w:val="000000"/>
        <w:sz w:val="16"/>
        <w:szCs w:val="16"/>
      </w:rPr>
      <w:t xml:space="preserve">, </w:t>
    </w:r>
    <w:proofErr w:type="spellStart"/>
    <w:r w:rsidRPr="00EB0B94">
      <w:rPr>
        <w:rFonts w:ascii="Palatino Linotype" w:eastAsia="Arial" w:hAnsi="Palatino Linotype" w:cs="Arial"/>
        <w:bCs/>
        <w:i/>
        <w:iCs/>
        <w:color w:val="000000"/>
        <w:sz w:val="16"/>
        <w:szCs w:val="16"/>
      </w:rPr>
      <w:t>Nurfarhati</w:t>
    </w:r>
    <w:proofErr w:type="spellEnd"/>
    <w:r w:rsidRPr="00EB0B94">
      <w:rPr>
        <w:rFonts w:ascii="Palatino Linotype" w:eastAsia="Arial" w:hAnsi="Palatino Linotype" w:cs="Arial"/>
        <w:bCs/>
        <w:i/>
        <w:iCs/>
        <w:color w:val="000000"/>
        <w:sz w:val="16"/>
        <w:szCs w:val="16"/>
      </w:rPr>
      <w:t xml:space="preserve">, </w:t>
    </w:r>
    <w:proofErr w:type="spellStart"/>
    <w:r w:rsidRPr="00EB0B94">
      <w:rPr>
        <w:rFonts w:ascii="Palatino Linotype" w:eastAsia="Arial" w:hAnsi="Palatino Linotype" w:cs="Arial"/>
        <w:bCs/>
        <w:i/>
        <w:iCs/>
        <w:color w:val="000000"/>
        <w:sz w:val="16"/>
        <w:szCs w:val="16"/>
      </w:rPr>
      <w:t>Syamsuddin</w:t>
    </w:r>
    <w:proofErr w:type="spellEnd"/>
    <w:r w:rsidRPr="00EB0B94">
      <w:rPr>
        <w:rFonts w:ascii="Palatino Linotype" w:eastAsia="Arial" w:hAnsi="Palatino Linotype" w:cs="Arial"/>
        <w:bCs/>
        <w:i/>
        <w:iCs/>
        <w:color w:val="000000"/>
        <w:sz w:val="16"/>
        <w:szCs w:val="16"/>
      </w:rPr>
      <w:t xml:space="preserve">, </w:t>
    </w:r>
    <w:proofErr w:type="spellStart"/>
    <w:r w:rsidRPr="00EB0B94">
      <w:rPr>
        <w:rFonts w:ascii="Palatino Linotype" w:eastAsia="Arial" w:hAnsi="Palatino Linotype" w:cs="Arial"/>
        <w:bCs/>
        <w:i/>
        <w:iCs/>
        <w:color w:val="000000"/>
        <w:sz w:val="16"/>
        <w:szCs w:val="16"/>
      </w:rPr>
      <w:t>Mas’ud</w:t>
    </w:r>
    <w:proofErr w:type="spellEnd"/>
    <w:r w:rsidRPr="00EB0B94">
      <w:rPr>
        <w:rFonts w:ascii="Palatino Linotype" w:eastAsia="Arial" w:hAnsi="Palatino Linotype" w:cs="Arial"/>
        <w:bCs/>
        <w:i/>
        <w:iCs/>
        <w:color w:val="000000"/>
        <w:sz w:val="16"/>
        <w:szCs w:val="16"/>
      </w:rPr>
      <w:t xml:space="preserve">, </w:t>
    </w:r>
    <w:proofErr w:type="spellStart"/>
    <w:r w:rsidRPr="00EB0B94">
      <w:rPr>
        <w:rFonts w:ascii="Palatino Linotype" w:eastAsia="Arial" w:hAnsi="Palatino Linotype" w:cs="Arial"/>
        <w:bCs/>
        <w:i/>
        <w:iCs/>
        <w:color w:val="000000"/>
        <w:sz w:val="16"/>
        <w:szCs w:val="16"/>
      </w:rPr>
      <w:t>Kasman</w:t>
    </w:r>
    <w:proofErr w:type="spellEnd"/>
    <w:r w:rsidRPr="00EB0B94">
      <w:rPr>
        <w:rFonts w:ascii="Palatino Linotype" w:eastAsia="Arial" w:hAnsi="Palatino Linotype" w:cs="Arial"/>
        <w:bCs/>
        <w:i/>
        <w:iCs/>
        <w:color w:val="000000"/>
        <w:sz w:val="16"/>
        <w:szCs w:val="16"/>
      </w:rPr>
      <w:t xml:space="preserve">/The Prevention Strategy of the </w:t>
    </w:r>
    <w:proofErr w:type="spellStart"/>
    <w:r w:rsidRPr="00EB0B94">
      <w:rPr>
        <w:rFonts w:ascii="Palatino Linotype" w:eastAsia="Arial" w:hAnsi="Palatino Linotype" w:cs="Arial"/>
        <w:bCs/>
        <w:i/>
        <w:iCs/>
        <w:color w:val="000000"/>
        <w:sz w:val="16"/>
        <w:szCs w:val="16"/>
      </w:rPr>
      <w:t>Sambinae</w:t>
    </w:r>
    <w:proofErr w:type="spellEnd"/>
    <w:r w:rsidRPr="00EB0B94">
      <w:rPr>
        <w:rFonts w:ascii="Palatino Linotype" w:eastAsia="Arial" w:hAnsi="Palatino Linotype" w:cs="Arial"/>
        <w:bCs/>
        <w:i/>
        <w:iCs/>
        <w:color w:val="000000"/>
        <w:sz w:val="16"/>
        <w:szCs w:val="16"/>
      </w:rPr>
      <w:t xml:space="preserve"> Subdistrict Leader Against Drug Trafficking</w:t>
    </w:r>
  </w:p>
  <w:p w14:paraId="11616B78" w14:textId="5A90BA5A" w:rsidR="00483189" w:rsidRPr="00EB0B94" w:rsidRDefault="00483189" w:rsidP="00EB0B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C71233" w14:textId="421814FF" w:rsidR="00483189" w:rsidRDefault="00031F18">
    <w:pPr>
      <w:tabs>
        <w:tab w:val="right" w:pos="8844"/>
      </w:tabs>
      <w:spacing w:before="120" w:line="240" w:lineRule="auto"/>
      <w:rPr>
        <w:rFonts w:ascii="Palatino Linotype" w:eastAsia="Palatino Linotype" w:hAnsi="Palatino Linotype" w:cs="Palatino Linotype"/>
        <w:sz w:val="16"/>
        <w:szCs w:val="16"/>
      </w:rPr>
    </w:pPr>
    <w:proofErr w:type="gramStart"/>
    <w:r>
      <w:rPr>
        <w:rFonts w:ascii="Palatino Linotype" w:eastAsia="Palatino Linotype" w:hAnsi="Palatino Linotype" w:cs="Palatino Linotype"/>
        <w:i/>
        <w:sz w:val="16"/>
        <w:szCs w:val="16"/>
      </w:rPr>
      <w:t>DOI :</w:t>
    </w:r>
    <w:proofErr w:type="gramEnd"/>
    <w:r>
      <w:rPr>
        <w:rFonts w:ascii="Palatino Linotype" w:eastAsia="Palatino Linotype" w:hAnsi="Palatino Linotype" w:cs="Palatino Linotype"/>
        <w:i/>
        <w:sz w:val="16"/>
        <w:szCs w:val="16"/>
      </w:rPr>
      <w:t xml:space="preserve"> </w:t>
    </w:r>
    <w:r w:rsidR="00FA0F8C" w:rsidRPr="00FA0F8C">
      <w:rPr>
        <w:rFonts w:ascii="Palatino Linotype" w:eastAsia="Palatino Linotype" w:hAnsi="Palatino Linotype" w:cs="Palatino Linotype"/>
        <w:i/>
        <w:sz w:val="16"/>
        <w:szCs w:val="16"/>
      </w:rPr>
      <w:t>10.20414/komunitas.v16i1.13474</w:t>
    </w:r>
    <w:r>
      <w:rPr>
        <w:rFonts w:ascii="Palatino Linotype" w:eastAsia="Palatino Linotype" w:hAnsi="Palatino Linotype" w:cs="Palatino Linotype"/>
        <w:sz w:val="16"/>
        <w:szCs w:val="16"/>
      </w:rPr>
      <w:tab/>
      <w:t>https://journal.uinmataram.ac.id/index.php/komunitas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DF6A6D" w14:textId="77777777" w:rsidR="00214987" w:rsidRDefault="00214987">
      <w:pPr>
        <w:spacing w:after="0" w:line="240" w:lineRule="auto"/>
      </w:pPr>
      <w:r>
        <w:separator/>
      </w:r>
    </w:p>
  </w:footnote>
  <w:footnote w:type="continuationSeparator" w:id="0">
    <w:p w14:paraId="3F486C2F" w14:textId="77777777" w:rsidR="00214987" w:rsidRDefault="002149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0F8872" w14:textId="616EDE93" w:rsidR="00483189" w:rsidRDefault="00031F18">
    <w:pPr>
      <w:tabs>
        <w:tab w:val="right" w:pos="8844"/>
      </w:tabs>
      <w:spacing w:after="240" w:line="240" w:lineRule="auto"/>
      <w:rPr>
        <w:rFonts w:ascii="Palatino Linotype" w:eastAsia="Palatino Linotype" w:hAnsi="Palatino Linotype" w:cs="Palatino Linotype"/>
        <w:sz w:val="16"/>
        <w:szCs w:val="16"/>
      </w:rPr>
    </w:pPr>
    <w:r>
      <w:rPr>
        <w:rFonts w:ascii="Palatino Linotype" w:eastAsia="Palatino Linotype" w:hAnsi="Palatino Linotype" w:cs="Palatino Linotype"/>
        <w:i/>
        <w:sz w:val="16"/>
        <w:szCs w:val="16"/>
      </w:rPr>
      <w:t xml:space="preserve">Komunitas: Jurnal Pengembangan Masyarakat Islam </w:t>
    </w:r>
    <w:r w:rsidR="009B48B5">
      <w:rPr>
        <w:rFonts w:ascii="Palatino Linotype" w:eastAsia="Palatino Linotype" w:hAnsi="Palatino Linotype" w:cs="Palatino Linotype"/>
        <w:i/>
        <w:sz w:val="16"/>
        <w:szCs w:val="16"/>
      </w:rPr>
      <w:t>16</w:t>
    </w:r>
    <w:r>
      <w:rPr>
        <w:rFonts w:ascii="Palatino Linotype" w:eastAsia="Palatino Linotype" w:hAnsi="Palatino Linotype" w:cs="Palatino Linotype"/>
        <w:i/>
        <w:sz w:val="16"/>
        <w:szCs w:val="16"/>
      </w:rPr>
      <w:t xml:space="preserve">, </w:t>
    </w:r>
    <w:r w:rsidR="009B48B5">
      <w:rPr>
        <w:rFonts w:ascii="Palatino Linotype" w:eastAsia="Palatino Linotype" w:hAnsi="Palatino Linotype" w:cs="Palatino Linotype"/>
        <w:i/>
        <w:sz w:val="16"/>
        <w:szCs w:val="16"/>
      </w:rPr>
      <w:t>1</w:t>
    </w:r>
    <w:r>
      <w:rPr>
        <w:rFonts w:ascii="Palatino Linotype" w:eastAsia="Palatino Linotype" w:hAnsi="Palatino Linotype" w:cs="Palatino Linotype"/>
        <w:i/>
        <w:sz w:val="16"/>
        <w:szCs w:val="16"/>
      </w:rPr>
      <w:t xml:space="preserve"> (</w:t>
    </w:r>
    <w:r w:rsidR="009B48B5">
      <w:rPr>
        <w:rFonts w:ascii="Palatino Linotype" w:eastAsia="Palatino Linotype" w:hAnsi="Palatino Linotype" w:cs="Palatino Linotype"/>
        <w:i/>
        <w:sz w:val="16"/>
        <w:szCs w:val="16"/>
      </w:rPr>
      <w:t>2025</w:t>
    </w:r>
    <w:r>
      <w:rPr>
        <w:rFonts w:ascii="Palatino Linotype" w:eastAsia="Palatino Linotype" w:hAnsi="Palatino Linotype" w:cs="Palatino Linotype"/>
        <w:i/>
        <w:sz w:val="16"/>
        <w:szCs w:val="16"/>
      </w:rPr>
      <w:t xml:space="preserve">): </w:t>
    </w:r>
    <w:r w:rsidR="009B48B5">
      <w:rPr>
        <w:rFonts w:ascii="Palatino Linotype" w:eastAsia="Palatino Linotype" w:hAnsi="Palatino Linotype" w:cs="Palatino Linotype"/>
        <w:i/>
        <w:sz w:val="16"/>
        <w:szCs w:val="16"/>
      </w:rPr>
      <w:t>1</w:t>
    </w:r>
    <w:r>
      <w:rPr>
        <w:rFonts w:ascii="Palatino Linotype" w:eastAsia="Palatino Linotype" w:hAnsi="Palatino Linotype" w:cs="Palatino Linotype"/>
        <w:i/>
        <w:sz w:val="16"/>
        <w:szCs w:val="16"/>
      </w:rPr>
      <w:t>-</w:t>
    </w:r>
    <w:r w:rsidR="009B48B5">
      <w:rPr>
        <w:rFonts w:ascii="Palatino Linotype" w:eastAsia="Palatino Linotype" w:hAnsi="Palatino Linotype" w:cs="Palatino Linotype"/>
        <w:i/>
        <w:sz w:val="16"/>
        <w:szCs w:val="16"/>
      </w:rPr>
      <w:t>17</w:t>
    </w:r>
    <w:r>
      <w:rPr>
        <w:rFonts w:ascii="Palatino Linotype" w:eastAsia="Palatino Linotype" w:hAnsi="Palatino Linotype" w:cs="Palatino Linotype"/>
        <w:sz w:val="16"/>
        <w:szCs w:val="16"/>
      </w:rPr>
      <w:tab/>
    </w:r>
    <w:r>
      <w:rPr>
        <w:rFonts w:ascii="Palatino Linotype" w:eastAsia="Palatino Linotype" w:hAnsi="Palatino Linotype" w:cs="Palatino Linotype"/>
        <w:sz w:val="16"/>
        <w:szCs w:val="16"/>
      </w:rPr>
      <w:fldChar w:fldCharType="begin"/>
    </w:r>
    <w:r>
      <w:rPr>
        <w:rFonts w:ascii="Palatino Linotype" w:eastAsia="Palatino Linotype" w:hAnsi="Palatino Linotype" w:cs="Palatino Linotype"/>
        <w:sz w:val="16"/>
        <w:szCs w:val="16"/>
      </w:rPr>
      <w:instrText>PAGE</w:instrText>
    </w:r>
    <w:r>
      <w:rPr>
        <w:rFonts w:ascii="Palatino Linotype" w:eastAsia="Palatino Linotype" w:hAnsi="Palatino Linotype" w:cs="Palatino Linotype"/>
        <w:sz w:val="16"/>
        <w:szCs w:val="16"/>
      </w:rPr>
      <w:fldChar w:fldCharType="separate"/>
    </w:r>
    <w:r w:rsidR="002E4C51">
      <w:rPr>
        <w:rFonts w:ascii="Palatino Linotype" w:eastAsia="Palatino Linotype" w:hAnsi="Palatino Linotype" w:cs="Palatino Linotype"/>
        <w:noProof/>
        <w:sz w:val="16"/>
        <w:szCs w:val="16"/>
      </w:rPr>
      <w:t>11</w:t>
    </w:r>
    <w:r>
      <w:rPr>
        <w:rFonts w:ascii="Palatino Linotype" w:eastAsia="Palatino Linotype" w:hAnsi="Palatino Linotype" w:cs="Palatino Linotype"/>
        <w:sz w:val="16"/>
        <w:szCs w:val="16"/>
      </w:rPr>
      <w:fldChar w:fldCharType="end"/>
    </w:r>
    <w:r>
      <w:rPr>
        <w:rFonts w:ascii="Palatino Linotype" w:eastAsia="Palatino Linotype" w:hAnsi="Palatino Linotype" w:cs="Palatino Linotype"/>
        <w:sz w:val="16"/>
        <w:szCs w:val="16"/>
      </w:rPr>
      <w:t xml:space="preserve"> </w:t>
    </w:r>
    <w:proofErr w:type="spellStart"/>
    <w:r>
      <w:rPr>
        <w:rFonts w:ascii="Palatino Linotype" w:eastAsia="Palatino Linotype" w:hAnsi="Palatino Linotype" w:cs="Palatino Linotype"/>
        <w:sz w:val="16"/>
        <w:szCs w:val="16"/>
      </w:rPr>
      <w:t>dari</w:t>
    </w:r>
    <w:proofErr w:type="spellEnd"/>
    <w:r>
      <w:rPr>
        <w:rFonts w:ascii="Palatino Linotype" w:eastAsia="Palatino Linotype" w:hAnsi="Palatino Linotype" w:cs="Palatino Linotype"/>
        <w:sz w:val="16"/>
        <w:szCs w:val="16"/>
      </w:rPr>
      <w:t xml:space="preserve"> </w:t>
    </w:r>
    <w:r>
      <w:rPr>
        <w:rFonts w:ascii="Palatino Linotype" w:eastAsia="Palatino Linotype" w:hAnsi="Palatino Linotype" w:cs="Palatino Linotype"/>
        <w:sz w:val="16"/>
        <w:szCs w:val="16"/>
      </w:rPr>
      <w:fldChar w:fldCharType="begin"/>
    </w:r>
    <w:r>
      <w:rPr>
        <w:rFonts w:ascii="Palatino Linotype" w:eastAsia="Palatino Linotype" w:hAnsi="Palatino Linotype" w:cs="Palatino Linotype"/>
        <w:sz w:val="16"/>
        <w:szCs w:val="16"/>
      </w:rPr>
      <w:instrText>NUMPAGES</w:instrText>
    </w:r>
    <w:r>
      <w:rPr>
        <w:rFonts w:ascii="Palatino Linotype" w:eastAsia="Palatino Linotype" w:hAnsi="Palatino Linotype" w:cs="Palatino Linotype"/>
        <w:sz w:val="16"/>
        <w:szCs w:val="16"/>
      </w:rPr>
      <w:fldChar w:fldCharType="separate"/>
    </w:r>
    <w:r w:rsidR="002E4C51">
      <w:rPr>
        <w:rFonts w:ascii="Palatino Linotype" w:eastAsia="Palatino Linotype" w:hAnsi="Palatino Linotype" w:cs="Palatino Linotype"/>
        <w:noProof/>
        <w:sz w:val="16"/>
        <w:szCs w:val="16"/>
      </w:rPr>
      <w:t>11</w:t>
    </w:r>
    <w:r>
      <w:rPr>
        <w:rFonts w:ascii="Palatino Linotype" w:eastAsia="Palatino Linotype" w:hAnsi="Palatino Linotype" w:cs="Palatino Linotype"/>
        <w:sz w:val="16"/>
        <w:szCs w:val="16"/>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8D1AC" w14:textId="77777777" w:rsidR="00483189" w:rsidRDefault="00031F18">
    <w:pPr>
      <w:pBdr>
        <w:top w:val="nil"/>
        <w:left w:val="nil"/>
        <w:bottom w:val="nil"/>
        <w:right w:val="nil"/>
        <w:between w:val="nil"/>
      </w:pBdr>
      <w:spacing w:after="0" w:line="240" w:lineRule="auto"/>
      <w:rPr>
        <w:rFonts w:ascii="Palatino Linotype" w:eastAsia="Palatino Linotype" w:hAnsi="Palatino Linotype" w:cs="Palatino Linotype"/>
        <w:i/>
        <w:color w:val="000000"/>
        <w:sz w:val="24"/>
        <w:szCs w:val="24"/>
      </w:rPr>
    </w:pPr>
    <w:r>
      <w:rPr>
        <w:rFonts w:ascii="Palatino Linotype" w:eastAsia="Palatino Linotype" w:hAnsi="Palatino Linotype" w:cs="Palatino Linotype"/>
        <w:i/>
        <w:color w:val="000000"/>
        <w:sz w:val="24"/>
        <w:szCs w:val="24"/>
      </w:rPr>
      <w:t>Komunitas: Jurnal Pengembangan Masyarakat Islam</w:t>
    </w:r>
  </w:p>
  <w:p w14:paraId="5240AFCA" w14:textId="77777777" w:rsidR="00483189" w:rsidRDefault="00031F18">
    <w:pPr>
      <w:pBdr>
        <w:top w:val="nil"/>
        <w:left w:val="nil"/>
        <w:bottom w:val="nil"/>
        <w:right w:val="nil"/>
        <w:between w:val="nil"/>
      </w:pBdr>
      <w:spacing w:after="0" w:line="240" w:lineRule="auto"/>
      <w:rPr>
        <w:rFonts w:ascii="Palatino Linotype" w:eastAsia="Palatino Linotype" w:hAnsi="Palatino Linotype" w:cs="Palatino Linotype"/>
        <w:i/>
        <w:color w:val="000000"/>
        <w:sz w:val="16"/>
        <w:szCs w:val="16"/>
      </w:rPr>
    </w:pPr>
    <w:r>
      <w:rPr>
        <w:rFonts w:ascii="Palatino Linotype" w:eastAsia="Palatino Linotype" w:hAnsi="Palatino Linotype" w:cs="Palatino Linotype"/>
        <w:i/>
        <w:color w:val="000000"/>
        <w:sz w:val="16"/>
        <w:szCs w:val="16"/>
      </w:rPr>
      <w:t>ISSN: 2540-9182 (online)</w:t>
    </w:r>
  </w:p>
  <w:p w14:paraId="16A4BF56" w14:textId="77777777" w:rsidR="00483189" w:rsidRDefault="00031F18">
    <w:pPr>
      <w:pBdr>
        <w:top w:val="nil"/>
        <w:left w:val="nil"/>
        <w:bottom w:val="nil"/>
        <w:right w:val="nil"/>
        <w:between w:val="nil"/>
      </w:pBdr>
      <w:spacing w:after="0" w:line="240" w:lineRule="auto"/>
      <w:rPr>
        <w:rFonts w:ascii="Palatino Linotype" w:eastAsia="Palatino Linotype" w:hAnsi="Palatino Linotype" w:cs="Palatino Linotype"/>
        <w:i/>
        <w:color w:val="000000"/>
        <w:sz w:val="16"/>
        <w:szCs w:val="16"/>
      </w:rPr>
    </w:pPr>
    <w:r>
      <w:rPr>
        <w:rFonts w:ascii="Palatino Linotype" w:eastAsia="Palatino Linotype" w:hAnsi="Palatino Linotype" w:cs="Palatino Linotype"/>
        <w:i/>
        <w:color w:val="000000"/>
        <w:sz w:val="16"/>
        <w:szCs w:val="16"/>
      </w:rPr>
      <w:t>ISSN: 2086-3357 (print)</w:t>
    </w:r>
  </w:p>
  <w:p w14:paraId="494D0FBF" w14:textId="77777777" w:rsidR="00483189" w:rsidRDefault="00483189">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2F4B68"/>
    <w:multiLevelType w:val="multilevel"/>
    <w:tmpl w:val="4EACAF04"/>
    <w:lvl w:ilvl="0">
      <w:start w:val="1"/>
      <w:numFmt w:val="decimal"/>
      <w:pStyle w:val="JW37itemize"/>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45E59B5"/>
    <w:multiLevelType w:val="multilevel"/>
    <w:tmpl w:val="9CD28BCA"/>
    <w:lvl w:ilvl="0">
      <w:start w:val="1"/>
      <w:numFmt w:val="decimal"/>
      <w:pStyle w:val="JW21heading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39617EB"/>
    <w:multiLevelType w:val="multilevel"/>
    <w:tmpl w:val="8CCAA320"/>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7CA51DCA"/>
    <w:multiLevelType w:val="multilevel"/>
    <w:tmpl w:val="1BF00BE8"/>
    <w:lvl w:ilvl="0">
      <w:start w:val="1"/>
      <w:numFmt w:val="decimal"/>
      <w:pStyle w:val="JW38bullet"/>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num w:numId="1" w16cid:durableId="1386442762">
    <w:abstractNumId w:val="0"/>
  </w:num>
  <w:num w:numId="2" w16cid:durableId="1057388773">
    <w:abstractNumId w:val="3"/>
  </w:num>
  <w:num w:numId="3" w16cid:durableId="1874999299">
    <w:abstractNumId w:val="2"/>
  </w:num>
  <w:num w:numId="4" w16cid:durableId="1323000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3189"/>
    <w:rsid w:val="0001197A"/>
    <w:rsid w:val="00031F18"/>
    <w:rsid w:val="00087E2A"/>
    <w:rsid w:val="000A3547"/>
    <w:rsid w:val="000F0085"/>
    <w:rsid w:val="001B3954"/>
    <w:rsid w:val="001E538B"/>
    <w:rsid w:val="00214987"/>
    <w:rsid w:val="00263EEE"/>
    <w:rsid w:val="00276FC7"/>
    <w:rsid w:val="00277B55"/>
    <w:rsid w:val="002A4E77"/>
    <w:rsid w:val="002E4C51"/>
    <w:rsid w:val="00307BE0"/>
    <w:rsid w:val="00315A48"/>
    <w:rsid w:val="00321F52"/>
    <w:rsid w:val="003502F2"/>
    <w:rsid w:val="00427C61"/>
    <w:rsid w:val="00433042"/>
    <w:rsid w:val="00477917"/>
    <w:rsid w:val="00483189"/>
    <w:rsid w:val="004D6550"/>
    <w:rsid w:val="00521942"/>
    <w:rsid w:val="005520C5"/>
    <w:rsid w:val="005E5437"/>
    <w:rsid w:val="006564E6"/>
    <w:rsid w:val="006715D5"/>
    <w:rsid w:val="006A1D05"/>
    <w:rsid w:val="006A222C"/>
    <w:rsid w:val="00700A71"/>
    <w:rsid w:val="007465E1"/>
    <w:rsid w:val="007A7FC8"/>
    <w:rsid w:val="007B3E36"/>
    <w:rsid w:val="007B4B23"/>
    <w:rsid w:val="007F5C4E"/>
    <w:rsid w:val="00815A36"/>
    <w:rsid w:val="00865471"/>
    <w:rsid w:val="008A59E0"/>
    <w:rsid w:val="008F21CE"/>
    <w:rsid w:val="00995D2D"/>
    <w:rsid w:val="009B48B5"/>
    <w:rsid w:val="00A132C5"/>
    <w:rsid w:val="00A3538E"/>
    <w:rsid w:val="00AF26A2"/>
    <w:rsid w:val="00B45545"/>
    <w:rsid w:val="00BD73F3"/>
    <w:rsid w:val="00C21ECB"/>
    <w:rsid w:val="00C36459"/>
    <w:rsid w:val="00C92AF8"/>
    <w:rsid w:val="00CA557D"/>
    <w:rsid w:val="00CB3DBB"/>
    <w:rsid w:val="00CF0A7A"/>
    <w:rsid w:val="00D82442"/>
    <w:rsid w:val="00DA00D0"/>
    <w:rsid w:val="00E0317E"/>
    <w:rsid w:val="00E233BA"/>
    <w:rsid w:val="00E34966"/>
    <w:rsid w:val="00E449FF"/>
    <w:rsid w:val="00EB0B94"/>
    <w:rsid w:val="00EC0141"/>
    <w:rsid w:val="00F51692"/>
    <w:rsid w:val="00F8738E"/>
    <w:rsid w:val="00FA0F8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A998A1"/>
  <w15:docId w15:val="{8468B946-1EE9-4005-95DE-367CD8B003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customStyle="1" w:styleId="JW12title">
    <w:name w:val="JW_1.2_title"/>
    <w:next w:val="JW13authornames"/>
    <w:qFormat/>
    <w:rsid w:val="00394BAF"/>
    <w:pPr>
      <w:adjustRightInd w:val="0"/>
      <w:snapToGrid w:val="0"/>
      <w:spacing w:before="240" w:after="240" w:line="400" w:lineRule="exact"/>
    </w:pPr>
    <w:rPr>
      <w:rFonts w:ascii="Palatino Linotype" w:eastAsia="Times New Roman" w:hAnsi="Palatino Linotype" w:cs="Times New Roman"/>
      <w:b/>
      <w:snapToGrid w:val="0"/>
      <w:color w:val="000000"/>
      <w:sz w:val="36"/>
      <w:szCs w:val="20"/>
      <w:lang w:eastAsia="de-DE" w:bidi="en-US"/>
    </w:rPr>
  </w:style>
  <w:style w:type="paragraph" w:customStyle="1" w:styleId="JW13authornames">
    <w:name w:val="JW_1.3_authornames"/>
    <w:basedOn w:val="Normal"/>
    <w:next w:val="JW14history"/>
    <w:qFormat/>
    <w:rsid w:val="008E64A2"/>
    <w:pPr>
      <w:adjustRightInd w:val="0"/>
      <w:snapToGrid w:val="0"/>
      <w:spacing w:after="120" w:line="260" w:lineRule="atLeast"/>
    </w:pPr>
    <w:rPr>
      <w:rFonts w:ascii="Palatino Linotype" w:eastAsia="Times New Roman" w:hAnsi="Palatino Linotype" w:cs="Times New Roman"/>
      <w:b/>
      <w:color w:val="000000"/>
      <w:sz w:val="20"/>
      <w:lang w:eastAsia="de-DE" w:bidi="en-US"/>
    </w:rPr>
  </w:style>
  <w:style w:type="paragraph" w:customStyle="1" w:styleId="JW14history">
    <w:name w:val="JW_1.4_history"/>
    <w:basedOn w:val="Normal"/>
    <w:next w:val="Normal"/>
    <w:qFormat/>
    <w:rsid w:val="008E64A2"/>
    <w:pPr>
      <w:adjustRightInd w:val="0"/>
      <w:snapToGrid w:val="0"/>
      <w:spacing w:before="120" w:after="0" w:line="200" w:lineRule="atLeast"/>
      <w:ind w:left="113"/>
    </w:pPr>
    <w:rPr>
      <w:rFonts w:ascii="Palatino Linotype" w:eastAsia="Times New Roman" w:hAnsi="Palatino Linotype" w:cs="Times New Roman"/>
      <w:color w:val="000000"/>
      <w:sz w:val="18"/>
      <w:szCs w:val="20"/>
      <w:lang w:eastAsia="de-DE" w:bidi="en-US"/>
    </w:rPr>
  </w:style>
  <w:style w:type="paragraph" w:customStyle="1" w:styleId="JW16affiliation">
    <w:name w:val="JW_1.6_affiliation"/>
    <w:basedOn w:val="Normal"/>
    <w:qFormat/>
    <w:rsid w:val="008E64A2"/>
    <w:pPr>
      <w:adjustRightInd w:val="0"/>
      <w:snapToGrid w:val="0"/>
      <w:spacing w:after="0" w:line="200" w:lineRule="atLeast"/>
      <w:ind w:left="311" w:hanging="198"/>
    </w:pPr>
    <w:rPr>
      <w:rFonts w:ascii="Palatino Linotype" w:eastAsia="Times New Roman" w:hAnsi="Palatino Linotype" w:cs="Times New Roman"/>
      <w:color w:val="000000"/>
      <w:sz w:val="18"/>
      <w:szCs w:val="18"/>
      <w:lang w:eastAsia="de-DE" w:bidi="en-US"/>
    </w:rPr>
  </w:style>
  <w:style w:type="paragraph" w:customStyle="1" w:styleId="JW2authorcorrespondence">
    <w:name w:val="JW_2_author_correspondence"/>
    <w:qFormat/>
    <w:rsid w:val="008E64A2"/>
    <w:pPr>
      <w:kinsoku w:val="0"/>
      <w:overflowPunct w:val="0"/>
      <w:autoSpaceDE w:val="0"/>
      <w:autoSpaceDN w:val="0"/>
      <w:adjustRightInd w:val="0"/>
      <w:snapToGrid w:val="0"/>
      <w:spacing w:after="0" w:line="200" w:lineRule="atLeast"/>
      <w:ind w:left="311" w:hanging="198"/>
    </w:pPr>
    <w:rPr>
      <w:rFonts w:ascii="Palatino Linotype" w:eastAsia="Times New Roman" w:hAnsi="Palatino Linotype" w:cs="Times New Roman"/>
      <w:snapToGrid w:val="0"/>
      <w:color w:val="000000"/>
      <w:sz w:val="18"/>
      <w:szCs w:val="20"/>
      <w:lang w:eastAsia="de-DE" w:bidi="en-US"/>
    </w:rPr>
  </w:style>
  <w:style w:type="paragraph" w:customStyle="1" w:styleId="JW17abstract">
    <w:name w:val="JW_1.7_abstract"/>
    <w:basedOn w:val="JW31text"/>
    <w:next w:val="JW18keywords"/>
    <w:qFormat/>
    <w:rsid w:val="008E64A2"/>
    <w:pPr>
      <w:spacing w:before="240"/>
      <w:ind w:left="113" w:firstLine="0"/>
    </w:pPr>
    <w:rPr>
      <w:snapToGrid/>
    </w:rPr>
  </w:style>
  <w:style w:type="paragraph" w:customStyle="1" w:styleId="JW18keywords">
    <w:name w:val="JW_1.8_keywords"/>
    <w:basedOn w:val="JW31text"/>
    <w:next w:val="Normal"/>
    <w:qFormat/>
    <w:rsid w:val="008E64A2"/>
    <w:pPr>
      <w:spacing w:before="240"/>
      <w:ind w:left="113" w:firstLine="0"/>
    </w:pPr>
  </w:style>
  <w:style w:type="paragraph" w:customStyle="1" w:styleId="JW19line">
    <w:name w:val="JW_1.9_line"/>
    <w:basedOn w:val="JW31text"/>
    <w:qFormat/>
    <w:rsid w:val="008E64A2"/>
    <w:pPr>
      <w:pBdr>
        <w:bottom w:val="single" w:sz="6" w:space="1" w:color="auto"/>
      </w:pBdr>
      <w:ind w:firstLine="0"/>
    </w:pPr>
    <w:rPr>
      <w:snapToGrid/>
      <w:szCs w:val="24"/>
    </w:rPr>
  </w:style>
  <w:style w:type="paragraph" w:customStyle="1" w:styleId="JW31text">
    <w:name w:val="JW_3.1_text"/>
    <w:qFormat/>
    <w:rsid w:val="008E64A2"/>
    <w:pPr>
      <w:adjustRightInd w:val="0"/>
      <w:snapToGrid w:val="0"/>
      <w:spacing w:after="0" w:line="260" w:lineRule="atLeast"/>
      <w:ind w:firstLine="425"/>
      <w:jc w:val="both"/>
    </w:pPr>
    <w:rPr>
      <w:rFonts w:ascii="Palatino Linotype" w:eastAsia="Times New Roman" w:hAnsi="Palatino Linotype" w:cs="Times New Roman"/>
      <w:snapToGrid w:val="0"/>
      <w:color w:val="000000"/>
      <w:sz w:val="20"/>
      <w:lang w:eastAsia="de-DE" w:bidi="en-US"/>
    </w:rPr>
  </w:style>
  <w:style w:type="paragraph" w:customStyle="1" w:styleId="JW21heading1">
    <w:name w:val="JW_2.1_heading1"/>
    <w:basedOn w:val="Normal"/>
    <w:qFormat/>
    <w:rsid w:val="008E64A2"/>
    <w:pPr>
      <w:numPr>
        <w:numId w:val="4"/>
      </w:numPr>
      <w:adjustRightInd w:val="0"/>
      <w:snapToGrid w:val="0"/>
      <w:spacing w:before="240" w:after="120" w:line="260" w:lineRule="atLeast"/>
      <w:ind w:left="426" w:hanging="426"/>
      <w:outlineLvl w:val="0"/>
    </w:pPr>
    <w:rPr>
      <w:rFonts w:ascii="Palatino Linotype" w:eastAsia="Times New Roman" w:hAnsi="Palatino Linotype" w:cs="Times New Roman"/>
      <w:b/>
      <w:snapToGrid w:val="0"/>
      <w:color w:val="000000"/>
      <w:sz w:val="20"/>
      <w:lang w:eastAsia="zh-CN" w:bidi="en-US"/>
    </w:rPr>
  </w:style>
  <w:style w:type="paragraph" w:customStyle="1" w:styleId="JW32textnoindent">
    <w:name w:val="JW_3.2_text_no_indent"/>
    <w:basedOn w:val="JW31text"/>
    <w:qFormat/>
    <w:rsid w:val="008E64A2"/>
    <w:pPr>
      <w:ind w:firstLine="0"/>
    </w:pPr>
  </w:style>
  <w:style w:type="paragraph" w:customStyle="1" w:styleId="JW33textspaceafter">
    <w:name w:val="JW_3.3_text_space_after"/>
    <w:basedOn w:val="JW31text"/>
    <w:qFormat/>
    <w:rsid w:val="008E64A2"/>
    <w:pPr>
      <w:spacing w:after="240"/>
    </w:pPr>
  </w:style>
  <w:style w:type="paragraph" w:customStyle="1" w:styleId="JW34textspacebefore">
    <w:name w:val="JW_3.4_text_space_before"/>
    <w:basedOn w:val="JW31text"/>
    <w:qFormat/>
    <w:rsid w:val="008E64A2"/>
    <w:pPr>
      <w:spacing w:before="240"/>
    </w:pPr>
  </w:style>
  <w:style w:type="paragraph" w:customStyle="1" w:styleId="JW35textbeforelist">
    <w:name w:val="JW_3.5_text_before_list"/>
    <w:basedOn w:val="JW31text"/>
    <w:qFormat/>
    <w:rsid w:val="008E64A2"/>
    <w:pPr>
      <w:spacing w:after="120"/>
    </w:pPr>
  </w:style>
  <w:style w:type="paragraph" w:customStyle="1" w:styleId="JW36textafterlist">
    <w:name w:val="JW_3.6_text_after_list"/>
    <w:basedOn w:val="JW31text"/>
    <w:qFormat/>
    <w:rsid w:val="008E64A2"/>
    <w:pPr>
      <w:spacing w:before="120"/>
    </w:pPr>
  </w:style>
  <w:style w:type="paragraph" w:customStyle="1" w:styleId="JW37itemize">
    <w:name w:val="JW_3.7_itemize"/>
    <w:basedOn w:val="JW31text"/>
    <w:qFormat/>
    <w:rsid w:val="008E64A2"/>
    <w:pPr>
      <w:numPr>
        <w:numId w:val="1"/>
      </w:numPr>
      <w:ind w:left="425" w:hanging="425"/>
    </w:pPr>
  </w:style>
  <w:style w:type="paragraph" w:customStyle="1" w:styleId="JW38bullet">
    <w:name w:val="JW_3.8_bullet"/>
    <w:basedOn w:val="JW31text"/>
    <w:qFormat/>
    <w:rsid w:val="008E64A2"/>
    <w:pPr>
      <w:numPr>
        <w:numId w:val="2"/>
      </w:numPr>
      <w:ind w:left="425" w:hanging="425"/>
    </w:pPr>
  </w:style>
  <w:style w:type="paragraph" w:customStyle="1" w:styleId="JW39equation">
    <w:name w:val="JW_3.9_equation"/>
    <w:basedOn w:val="JW31text"/>
    <w:qFormat/>
    <w:rsid w:val="008E64A2"/>
    <w:pPr>
      <w:spacing w:before="120" w:after="120"/>
      <w:ind w:left="709" w:firstLine="0"/>
      <w:jc w:val="center"/>
    </w:pPr>
  </w:style>
  <w:style w:type="paragraph" w:customStyle="1" w:styleId="JW3aequationnumber">
    <w:name w:val="JW_3.a_equation_number"/>
    <w:basedOn w:val="JW31text"/>
    <w:rsid w:val="008E64A2"/>
    <w:pPr>
      <w:spacing w:before="120" w:after="120" w:line="240" w:lineRule="auto"/>
      <w:ind w:firstLine="0"/>
      <w:jc w:val="right"/>
    </w:pPr>
  </w:style>
  <w:style w:type="paragraph" w:customStyle="1" w:styleId="JW62Acknowledgments">
    <w:name w:val="JW_6.2_Acknowledgments"/>
    <w:qFormat/>
    <w:rsid w:val="008E64A2"/>
    <w:pPr>
      <w:adjustRightInd w:val="0"/>
      <w:snapToGrid w:val="0"/>
      <w:spacing w:before="120" w:after="0" w:line="200" w:lineRule="atLeast"/>
      <w:jc w:val="both"/>
    </w:pPr>
    <w:rPr>
      <w:rFonts w:ascii="Palatino Linotype" w:eastAsia="Times New Roman" w:hAnsi="Palatino Linotype" w:cs="Times New Roman"/>
      <w:snapToGrid w:val="0"/>
      <w:color w:val="000000"/>
      <w:sz w:val="18"/>
      <w:szCs w:val="20"/>
      <w:lang w:eastAsia="de-DE" w:bidi="en-US"/>
    </w:rPr>
  </w:style>
  <w:style w:type="paragraph" w:customStyle="1" w:styleId="JW41tablecaption">
    <w:name w:val="JW_4.1_table_caption"/>
    <w:basedOn w:val="JW62Acknowledgments"/>
    <w:qFormat/>
    <w:rsid w:val="008E64A2"/>
    <w:pPr>
      <w:spacing w:before="240" w:after="120" w:line="260" w:lineRule="atLeast"/>
      <w:ind w:left="425" w:right="425"/>
    </w:pPr>
    <w:rPr>
      <w:snapToGrid/>
      <w:szCs w:val="22"/>
    </w:rPr>
  </w:style>
  <w:style w:type="paragraph" w:customStyle="1" w:styleId="JW42tablebody">
    <w:name w:val="JW_4.2_table_body"/>
    <w:qFormat/>
    <w:rsid w:val="008E64A2"/>
    <w:pPr>
      <w:adjustRightInd w:val="0"/>
      <w:snapToGrid w:val="0"/>
      <w:spacing w:after="0" w:line="260" w:lineRule="atLeast"/>
      <w:jc w:val="center"/>
    </w:pPr>
    <w:rPr>
      <w:rFonts w:ascii="Palatino Linotype" w:eastAsia="Times New Roman" w:hAnsi="Palatino Linotype" w:cs="Times New Roman"/>
      <w:snapToGrid w:val="0"/>
      <w:color w:val="000000"/>
      <w:sz w:val="20"/>
      <w:szCs w:val="20"/>
      <w:lang w:eastAsia="de-DE" w:bidi="en-US"/>
    </w:rPr>
  </w:style>
  <w:style w:type="paragraph" w:customStyle="1" w:styleId="JW43tablefooter">
    <w:name w:val="JW_4.3_table_footer"/>
    <w:basedOn w:val="JW41tablecaption"/>
    <w:next w:val="JW31text"/>
    <w:qFormat/>
    <w:rsid w:val="008E64A2"/>
    <w:pPr>
      <w:spacing w:before="0"/>
      <w:ind w:left="0" w:right="0"/>
    </w:pPr>
  </w:style>
  <w:style w:type="paragraph" w:customStyle="1" w:styleId="JW51figurecaption">
    <w:name w:val="JW_5.1_figure_caption"/>
    <w:basedOn w:val="JW62Acknowledgments"/>
    <w:qFormat/>
    <w:rsid w:val="008E64A2"/>
    <w:pPr>
      <w:spacing w:after="240" w:line="260" w:lineRule="atLeast"/>
      <w:ind w:left="425" w:right="425"/>
    </w:pPr>
    <w:rPr>
      <w:snapToGrid/>
    </w:rPr>
  </w:style>
  <w:style w:type="paragraph" w:customStyle="1" w:styleId="JW52figure">
    <w:name w:val="JW_5.2_figure"/>
    <w:qFormat/>
    <w:rsid w:val="008E64A2"/>
    <w:pPr>
      <w:spacing w:after="0" w:line="240" w:lineRule="auto"/>
      <w:jc w:val="center"/>
    </w:pPr>
    <w:rPr>
      <w:rFonts w:ascii="Palatino Linotype" w:eastAsia="Times New Roman" w:hAnsi="Palatino Linotype" w:cs="Times New Roman"/>
      <w:snapToGrid w:val="0"/>
      <w:color w:val="000000"/>
      <w:sz w:val="24"/>
      <w:szCs w:val="20"/>
      <w:lang w:eastAsia="de-DE" w:bidi="en-US"/>
    </w:rPr>
  </w:style>
  <w:style w:type="paragraph" w:customStyle="1" w:styleId="MDPIheaderjournallogo">
    <w:name w:val="MDPI_header_journal_logo"/>
    <w:qFormat/>
    <w:rsid w:val="00EE35A7"/>
    <w:pPr>
      <w:adjustRightInd w:val="0"/>
      <w:snapToGrid w:val="0"/>
      <w:spacing w:after="0" w:line="240" w:lineRule="auto"/>
    </w:pPr>
    <w:rPr>
      <w:rFonts w:ascii="Palatino Linotype" w:eastAsia="Times New Roman" w:hAnsi="Palatino Linotype" w:cs="Times New Roman"/>
      <w:i/>
      <w:color w:val="000000"/>
      <w:sz w:val="24"/>
      <w:lang w:eastAsia="de-CH"/>
    </w:rPr>
  </w:style>
  <w:style w:type="paragraph" w:customStyle="1" w:styleId="JW81Quote">
    <w:name w:val="JW_8.1_Quote"/>
    <w:basedOn w:val="JW32textnoindent"/>
    <w:qFormat/>
    <w:rsid w:val="00056E9C"/>
    <w:pPr>
      <w:ind w:left="426"/>
    </w:pPr>
    <w:rPr>
      <w:iCs/>
    </w:rPr>
  </w:style>
  <w:style w:type="paragraph" w:customStyle="1" w:styleId="JW23heading3">
    <w:name w:val="JW_2.3_heading3"/>
    <w:basedOn w:val="JW31text"/>
    <w:qFormat/>
    <w:rsid w:val="008E64A2"/>
    <w:pPr>
      <w:spacing w:before="240" w:after="120"/>
      <w:ind w:firstLine="0"/>
      <w:jc w:val="left"/>
      <w:outlineLvl w:val="2"/>
    </w:pPr>
  </w:style>
  <w:style w:type="paragraph" w:customStyle="1" w:styleId="JW22heading2">
    <w:name w:val="JW_2.2_heading2"/>
    <w:basedOn w:val="Normal"/>
    <w:qFormat/>
    <w:rsid w:val="008E64A2"/>
    <w:pPr>
      <w:kinsoku w:val="0"/>
      <w:overflowPunct w:val="0"/>
      <w:autoSpaceDE w:val="0"/>
      <w:autoSpaceDN w:val="0"/>
      <w:adjustRightInd w:val="0"/>
      <w:snapToGrid w:val="0"/>
      <w:spacing w:before="240" w:after="120" w:line="260" w:lineRule="atLeast"/>
      <w:outlineLvl w:val="1"/>
    </w:pPr>
    <w:rPr>
      <w:rFonts w:ascii="Palatino Linotype" w:eastAsia="Times New Roman" w:hAnsi="Palatino Linotype" w:cs="Times New Roman"/>
      <w:i/>
      <w:noProof/>
      <w:snapToGrid w:val="0"/>
      <w:color w:val="000000"/>
      <w:sz w:val="20"/>
      <w:lang w:eastAsia="de-DE" w:bidi="en-US"/>
    </w:rPr>
  </w:style>
  <w:style w:type="paragraph" w:customStyle="1" w:styleId="JW71References">
    <w:name w:val="JW_7.1_References"/>
    <w:basedOn w:val="Normal"/>
    <w:qFormat/>
    <w:rsid w:val="00056E9C"/>
    <w:pPr>
      <w:widowControl w:val="0"/>
      <w:autoSpaceDE w:val="0"/>
      <w:autoSpaceDN w:val="0"/>
      <w:adjustRightInd w:val="0"/>
      <w:spacing w:after="0" w:line="240" w:lineRule="atLeast"/>
      <w:ind w:left="480" w:hanging="480"/>
      <w:jc w:val="both"/>
    </w:pPr>
    <w:rPr>
      <w:rFonts w:ascii="Palatino Linotype" w:hAnsi="Palatino Linotype" w:cs="Times New Roman"/>
      <w:noProof/>
      <w:sz w:val="18"/>
      <w:szCs w:val="24"/>
    </w:rPr>
  </w:style>
  <w:style w:type="character" w:styleId="Hyperlink">
    <w:name w:val="Hyperlink"/>
    <w:uiPriority w:val="99"/>
    <w:unhideWhenUsed/>
    <w:rsid w:val="008E64A2"/>
    <w:rPr>
      <w:color w:val="0563C1"/>
      <w:u w:val="single"/>
    </w:rPr>
  </w:style>
  <w:style w:type="paragraph" w:styleId="Header">
    <w:name w:val="header"/>
    <w:basedOn w:val="Normal"/>
    <w:link w:val="HeaderChar"/>
    <w:uiPriority w:val="99"/>
    <w:unhideWhenUsed/>
    <w:rsid w:val="008E6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64A2"/>
  </w:style>
  <w:style w:type="paragraph" w:styleId="Footer">
    <w:name w:val="footer"/>
    <w:basedOn w:val="Normal"/>
    <w:link w:val="FooterChar"/>
    <w:uiPriority w:val="99"/>
    <w:unhideWhenUsed/>
    <w:rsid w:val="008E64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64A2"/>
  </w:style>
  <w:style w:type="paragraph" w:customStyle="1" w:styleId="JW11articletype">
    <w:name w:val="JW_1.1_article_type"/>
    <w:basedOn w:val="Normal"/>
    <w:next w:val="Normal"/>
    <w:qFormat/>
    <w:rsid w:val="00626D7A"/>
    <w:pPr>
      <w:adjustRightInd w:val="0"/>
      <w:snapToGrid w:val="0"/>
      <w:spacing w:before="240" w:after="0" w:line="240" w:lineRule="auto"/>
    </w:pPr>
    <w:rPr>
      <w:rFonts w:ascii="Palatino Linotype" w:eastAsia="Times New Roman" w:hAnsi="Palatino Linotype" w:cs="Times New Roman"/>
      <w:i/>
      <w:snapToGrid w:val="0"/>
      <w:color w:val="000000"/>
      <w:sz w:val="20"/>
      <w:lang w:eastAsia="de-DE" w:bidi="en-US"/>
    </w:rPr>
  </w:style>
  <w:style w:type="paragraph" w:styleId="FootnoteText">
    <w:name w:val="footnote text"/>
    <w:basedOn w:val="Normal"/>
    <w:link w:val="FootnoteTextChar"/>
    <w:uiPriority w:val="99"/>
    <w:semiHidden/>
    <w:unhideWhenUsed/>
    <w:rsid w:val="00056E9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56E9C"/>
    <w:rPr>
      <w:sz w:val="20"/>
      <w:szCs w:val="20"/>
    </w:rPr>
  </w:style>
  <w:style w:type="character" w:styleId="FootnoteReference">
    <w:name w:val="footnote reference"/>
    <w:basedOn w:val="DefaultParagraphFont"/>
    <w:uiPriority w:val="99"/>
    <w:semiHidden/>
    <w:unhideWhenUsed/>
    <w:rsid w:val="00056E9C"/>
    <w:rPr>
      <w:vertAlign w:val="superscript"/>
    </w:rPr>
  </w:style>
  <w:style w:type="character" w:customStyle="1" w:styleId="UnresolvedMention1">
    <w:name w:val="Unresolved Mention1"/>
    <w:basedOn w:val="DefaultParagraphFont"/>
    <w:uiPriority w:val="99"/>
    <w:semiHidden/>
    <w:unhideWhenUsed/>
    <w:rsid w:val="00BF0A78"/>
    <w:rPr>
      <w:color w:val="605E5C"/>
      <w:shd w:val="clear" w:color="auto" w:fill="E1DFDD"/>
    </w:rPr>
  </w:style>
  <w:style w:type="paragraph" w:styleId="BalloonText">
    <w:name w:val="Balloon Text"/>
    <w:basedOn w:val="Normal"/>
    <w:link w:val="BalloonTextChar"/>
    <w:uiPriority w:val="99"/>
    <w:semiHidden/>
    <w:unhideWhenUsed/>
    <w:rsid w:val="00E072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723A"/>
    <w:rPr>
      <w:rFonts w:ascii="Segoe UI" w:hAnsi="Segoe UI" w:cs="Segoe UI"/>
      <w:sz w:val="18"/>
      <w:szCs w:val="18"/>
    </w:rPr>
  </w:style>
  <w:style w:type="paragraph" w:styleId="Caption">
    <w:name w:val="caption"/>
    <w:basedOn w:val="Normal"/>
    <w:next w:val="Normal"/>
    <w:uiPriority w:val="35"/>
    <w:unhideWhenUsed/>
    <w:qFormat/>
    <w:rsid w:val="006B3316"/>
    <w:pPr>
      <w:spacing w:after="200" w:line="240" w:lineRule="auto"/>
    </w:pPr>
    <w:rPr>
      <w:i/>
      <w:iCs/>
      <w:color w:val="44546A" w:themeColor="text2"/>
      <w:sz w:val="18"/>
      <w:szCs w:val="18"/>
    </w:rPr>
  </w:style>
  <w:style w:type="table" w:styleId="TableGrid">
    <w:name w:val="Table Grid"/>
    <w:basedOn w:val="TableNormal"/>
    <w:uiPriority w:val="39"/>
    <w:rsid w:val="007B1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115" w:type="dxa"/>
        <w:right w:w="115" w:type="dxa"/>
      </w:tblCellMar>
    </w:tblPr>
  </w:style>
  <w:style w:type="character" w:customStyle="1" w:styleId="UnresolvedMention2">
    <w:name w:val="Unresolved Mention2"/>
    <w:basedOn w:val="DefaultParagraphFont"/>
    <w:uiPriority w:val="99"/>
    <w:semiHidden/>
    <w:unhideWhenUsed/>
    <w:rsid w:val="005E5437"/>
    <w:rPr>
      <w:color w:val="605E5C"/>
      <w:shd w:val="clear" w:color="auto" w:fill="E1DFDD"/>
    </w:rPr>
  </w:style>
  <w:style w:type="paragraph" w:styleId="NormalWeb">
    <w:name w:val="Normal (Web)"/>
    <w:basedOn w:val="Normal"/>
    <w:uiPriority w:val="99"/>
    <w:semiHidden/>
    <w:unhideWhenUsed/>
    <w:rsid w:val="000F0085"/>
    <w:pPr>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Emphasis">
    <w:name w:val="Emphasis"/>
    <w:basedOn w:val="DefaultParagraphFont"/>
    <w:uiPriority w:val="20"/>
    <w:qFormat/>
    <w:rsid w:val="000F008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90982">
      <w:bodyDiv w:val="1"/>
      <w:marLeft w:val="0"/>
      <w:marRight w:val="0"/>
      <w:marTop w:val="0"/>
      <w:marBottom w:val="0"/>
      <w:divBdr>
        <w:top w:val="none" w:sz="0" w:space="0" w:color="auto"/>
        <w:left w:val="none" w:sz="0" w:space="0" w:color="auto"/>
        <w:bottom w:val="none" w:sz="0" w:space="0" w:color="auto"/>
        <w:right w:val="none" w:sz="0" w:space="0" w:color="auto"/>
      </w:divBdr>
    </w:div>
    <w:div w:id="127821116">
      <w:bodyDiv w:val="1"/>
      <w:marLeft w:val="0"/>
      <w:marRight w:val="0"/>
      <w:marTop w:val="0"/>
      <w:marBottom w:val="0"/>
      <w:divBdr>
        <w:top w:val="none" w:sz="0" w:space="0" w:color="auto"/>
        <w:left w:val="none" w:sz="0" w:space="0" w:color="auto"/>
        <w:bottom w:val="none" w:sz="0" w:space="0" w:color="auto"/>
        <w:right w:val="none" w:sz="0" w:space="0" w:color="auto"/>
      </w:divBdr>
    </w:div>
    <w:div w:id="463353396">
      <w:bodyDiv w:val="1"/>
      <w:marLeft w:val="0"/>
      <w:marRight w:val="0"/>
      <w:marTop w:val="0"/>
      <w:marBottom w:val="0"/>
      <w:divBdr>
        <w:top w:val="none" w:sz="0" w:space="0" w:color="auto"/>
        <w:left w:val="none" w:sz="0" w:space="0" w:color="auto"/>
        <w:bottom w:val="none" w:sz="0" w:space="0" w:color="auto"/>
        <w:right w:val="none" w:sz="0" w:space="0" w:color="auto"/>
      </w:divBdr>
    </w:div>
    <w:div w:id="466825736">
      <w:bodyDiv w:val="1"/>
      <w:marLeft w:val="0"/>
      <w:marRight w:val="0"/>
      <w:marTop w:val="0"/>
      <w:marBottom w:val="0"/>
      <w:divBdr>
        <w:top w:val="none" w:sz="0" w:space="0" w:color="auto"/>
        <w:left w:val="none" w:sz="0" w:space="0" w:color="auto"/>
        <w:bottom w:val="none" w:sz="0" w:space="0" w:color="auto"/>
        <w:right w:val="none" w:sz="0" w:space="0" w:color="auto"/>
      </w:divBdr>
    </w:div>
    <w:div w:id="807556962">
      <w:bodyDiv w:val="1"/>
      <w:marLeft w:val="0"/>
      <w:marRight w:val="0"/>
      <w:marTop w:val="0"/>
      <w:marBottom w:val="0"/>
      <w:divBdr>
        <w:top w:val="none" w:sz="0" w:space="0" w:color="auto"/>
        <w:left w:val="none" w:sz="0" w:space="0" w:color="auto"/>
        <w:bottom w:val="none" w:sz="0" w:space="0" w:color="auto"/>
        <w:right w:val="none" w:sz="0" w:space="0" w:color="auto"/>
      </w:divBdr>
    </w:div>
    <w:div w:id="954990838">
      <w:bodyDiv w:val="1"/>
      <w:marLeft w:val="0"/>
      <w:marRight w:val="0"/>
      <w:marTop w:val="0"/>
      <w:marBottom w:val="0"/>
      <w:divBdr>
        <w:top w:val="none" w:sz="0" w:space="0" w:color="auto"/>
        <w:left w:val="none" w:sz="0" w:space="0" w:color="auto"/>
        <w:bottom w:val="none" w:sz="0" w:space="0" w:color="auto"/>
        <w:right w:val="none" w:sz="0" w:space="0" w:color="auto"/>
      </w:divBdr>
    </w:div>
    <w:div w:id="1195532414">
      <w:bodyDiv w:val="1"/>
      <w:marLeft w:val="0"/>
      <w:marRight w:val="0"/>
      <w:marTop w:val="0"/>
      <w:marBottom w:val="0"/>
      <w:divBdr>
        <w:top w:val="none" w:sz="0" w:space="0" w:color="auto"/>
        <w:left w:val="none" w:sz="0" w:space="0" w:color="auto"/>
        <w:bottom w:val="none" w:sz="0" w:space="0" w:color="auto"/>
        <w:right w:val="none" w:sz="0" w:space="0" w:color="auto"/>
      </w:divBdr>
    </w:div>
    <w:div w:id="1303459787">
      <w:bodyDiv w:val="1"/>
      <w:marLeft w:val="0"/>
      <w:marRight w:val="0"/>
      <w:marTop w:val="0"/>
      <w:marBottom w:val="0"/>
      <w:divBdr>
        <w:top w:val="none" w:sz="0" w:space="0" w:color="auto"/>
        <w:left w:val="none" w:sz="0" w:space="0" w:color="auto"/>
        <w:bottom w:val="none" w:sz="0" w:space="0" w:color="auto"/>
        <w:right w:val="none" w:sz="0" w:space="0" w:color="auto"/>
      </w:divBdr>
    </w:div>
    <w:div w:id="1355494565">
      <w:bodyDiv w:val="1"/>
      <w:marLeft w:val="0"/>
      <w:marRight w:val="0"/>
      <w:marTop w:val="0"/>
      <w:marBottom w:val="0"/>
      <w:divBdr>
        <w:top w:val="none" w:sz="0" w:space="0" w:color="auto"/>
        <w:left w:val="none" w:sz="0" w:space="0" w:color="auto"/>
        <w:bottom w:val="none" w:sz="0" w:space="0" w:color="auto"/>
        <w:right w:val="none" w:sz="0" w:space="0" w:color="auto"/>
      </w:divBdr>
    </w:div>
    <w:div w:id="1368532773">
      <w:bodyDiv w:val="1"/>
      <w:marLeft w:val="0"/>
      <w:marRight w:val="0"/>
      <w:marTop w:val="0"/>
      <w:marBottom w:val="0"/>
      <w:divBdr>
        <w:top w:val="none" w:sz="0" w:space="0" w:color="auto"/>
        <w:left w:val="none" w:sz="0" w:space="0" w:color="auto"/>
        <w:bottom w:val="none" w:sz="0" w:space="0" w:color="auto"/>
        <w:right w:val="none" w:sz="0" w:space="0" w:color="auto"/>
      </w:divBdr>
    </w:div>
    <w:div w:id="1612584888">
      <w:bodyDiv w:val="1"/>
      <w:marLeft w:val="0"/>
      <w:marRight w:val="0"/>
      <w:marTop w:val="0"/>
      <w:marBottom w:val="0"/>
      <w:divBdr>
        <w:top w:val="none" w:sz="0" w:space="0" w:color="auto"/>
        <w:left w:val="none" w:sz="0" w:space="0" w:color="auto"/>
        <w:bottom w:val="none" w:sz="0" w:space="0" w:color="auto"/>
        <w:right w:val="none" w:sz="0" w:space="0" w:color="auto"/>
      </w:divBdr>
    </w:div>
    <w:div w:id="1686132309">
      <w:bodyDiv w:val="1"/>
      <w:marLeft w:val="0"/>
      <w:marRight w:val="0"/>
      <w:marTop w:val="0"/>
      <w:marBottom w:val="0"/>
      <w:divBdr>
        <w:top w:val="none" w:sz="0" w:space="0" w:color="auto"/>
        <w:left w:val="none" w:sz="0" w:space="0" w:color="auto"/>
        <w:bottom w:val="none" w:sz="0" w:space="0" w:color="auto"/>
        <w:right w:val="none" w:sz="0" w:space="0" w:color="auto"/>
      </w:divBdr>
    </w:div>
    <w:div w:id="20872680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kasman.saf123@gmail.com" TargetMode="External"/><Relationship Id="rId18"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masud@stisipbima.ac.id"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yamsuddin@stisipbima.ac.id"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mailto:nurfarhartybima11@gmail.com" TargetMode="External"/><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hyperlink" Target="mailto:Rennisartika17@gmail.com" TargetMode="External"/><Relationship Id="rId14" Type="http://schemas.openxmlformats.org/officeDocument/2006/relationships/hyperlink" Target="mailto:Rennisartika17@gmail.com" TargetMode="External"/><Relationship Id="rId22"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bQxquvmab8VCAcy+y1qvh1W4fXw==">AMUW2mW4drwDyuf6o07VDa/Cl531H+5GvRx79LDqj2br/cklavXJlI7iu4+lMMZPMTawUX4amy6QarWojSh/czVa41cOawVhQYjh6rOyjbiScKY8UZuPKMUuT5KOss5h7/PWdP7zki35B6riCCI7IujM92+Gx5XOyg==</go:docsCustomData>
</go:gDocsCustomXmlDataStorage>
</file>

<file path=customXml/itemProps1.xml><?xml version="1.0" encoding="utf-8"?>
<ds:datastoreItem xmlns:ds="http://schemas.openxmlformats.org/officeDocument/2006/customXml" ds:itemID="{2ED71E6D-3BE8-47E7-88F5-B8722F2595A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17</Pages>
  <Words>18467</Words>
  <Characters>105265</Characters>
  <Application>Microsoft Office Word</Application>
  <DocSecurity>0</DocSecurity>
  <Lines>877</Lines>
  <Paragraphs>246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Amrulloh</dc:creator>
  <cp:lastModifiedBy>Microsoft Office User</cp:lastModifiedBy>
  <cp:revision>4</cp:revision>
  <dcterms:created xsi:type="dcterms:W3CDTF">2025-06-28T10:09:00Z</dcterms:created>
  <dcterms:modified xsi:type="dcterms:W3CDTF">2025-06-29T22:50:00Z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33caa4d2-b43a-35bd-8de9-af45a7c567d5</vt:lpwstr>
  </property>
  <property fmtid="{D5CDD505-2E9C-101B-9397-08002B2CF9AE}" pid="24" name="Mendeley Citation Style_1">
    <vt:lpwstr>http://www.zotero.org/styles/apa</vt:lpwstr>
  </property>
</Properties>
</file>